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DD" w:rsidRDefault="000E5A55" w:rsidP="00250666">
      <w:pPr>
        <w:jc w:val="center"/>
        <w:rPr>
          <w:rFonts w:asciiTheme="minorHAnsi" w:hAnsiTheme="minorHAnsi"/>
          <w:b/>
          <w:sz w:val="72"/>
          <w:szCs w:val="72"/>
          <w:lang w:val="es-ES"/>
        </w:rPr>
      </w:pPr>
      <w:r>
        <w:rPr>
          <w:rFonts w:asciiTheme="minorHAnsi" w:hAnsiTheme="minorHAnsi"/>
          <w:b/>
          <w:sz w:val="72"/>
          <w:szCs w:val="72"/>
          <w:lang w:val="es-ES"/>
        </w:rPr>
        <w:t>Tesoro</w:t>
      </w:r>
      <w:r w:rsidR="00A01F5A">
        <w:rPr>
          <w:rFonts w:asciiTheme="minorHAnsi" w:hAnsiTheme="minorHAnsi"/>
          <w:b/>
          <w:sz w:val="72"/>
          <w:szCs w:val="72"/>
          <w:lang w:val="es-ES"/>
        </w:rPr>
        <w:t>s</w:t>
      </w:r>
      <w:r>
        <w:rPr>
          <w:rFonts w:asciiTheme="minorHAnsi" w:hAnsiTheme="minorHAnsi"/>
          <w:b/>
          <w:sz w:val="72"/>
          <w:szCs w:val="72"/>
          <w:lang w:val="es-ES"/>
        </w:rPr>
        <w:t xml:space="preserve"> </w:t>
      </w:r>
    </w:p>
    <w:p w:rsidR="00250666" w:rsidRPr="00510FF9" w:rsidRDefault="007260E5" w:rsidP="00250666">
      <w:pPr>
        <w:jc w:val="center"/>
        <w:rPr>
          <w:rFonts w:asciiTheme="minorHAnsi" w:hAnsiTheme="minorHAnsi"/>
          <w:b/>
          <w:sz w:val="72"/>
          <w:szCs w:val="72"/>
          <w:lang w:val="es-ES"/>
        </w:rPr>
      </w:pPr>
      <w:proofErr w:type="gramStart"/>
      <w:r>
        <w:rPr>
          <w:rFonts w:asciiTheme="minorHAnsi" w:hAnsiTheme="minorHAnsi"/>
          <w:b/>
          <w:sz w:val="72"/>
          <w:szCs w:val="72"/>
          <w:lang w:val="es-ES"/>
        </w:rPr>
        <w:t>de</w:t>
      </w:r>
      <w:proofErr w:type="gramEnd"/>
      <w:r>
        <w:rPr>
          <w:rFonts w:asciiTheme="minorHAnsi" w:hAnsiTheme="minorHAnsi"/>
          <w:b/>
          <w:sz w:val="72"/>
          <w:szCs w:val="72"/>
          <w:lang w:val="es-ES"/>
        </w:rPr>
        <w:t xml:space="preserve"> los Balcanes </w:t>
      </w:r>
      <w:r w:rsidR="00250666" w:rsidRPr="00510FF9">
        <w:rPr>
          <w:rFonts w:asciiTheme="minorHAnsi" w:hAnsiTheme="minorHAnsi"/>
          <w:b/>
          <w:sz w:val="72"/>
          <w:szCs w:val="72"/>
          <w:lang w:val="es-ES"/>
        </w:rPr>
        <w:t>2024</w:t>
      </w:r>
    </w:p>
    <w:p w:rsidR="00250666" w:rsidRPr="00510FF9" w:rsidRDefault="000650B2" w:rsidP="00250666">
      <w:pPr>
        <w:jc w:val="center"/>
        <w:rPr>
          <w:rFonts w:asciiTheme="minorHAnsi" w:hAnsiTheme="minorHAnsi"/>
          <w:b/>
          <w:sz w:val="32"/>
          <w:szCs w:val="32"/>
          <w:lang w:val="es-ES"/>
        </w:rPr>
      </w:pPr>
      <w:r>
        <w:rPr>
          <w:rFonts w:asciiTheme="minorHAnsi" w:hAnsiTheme="minorHAnsi"/>
          <w:b/>
          <w:sz w:val="32"/>
          <w:szCs w:val="32"/>
          <w:lang w:val="es-ES"/>
        </w:rPr>
        <w:t>10</w:t>
      </w:r>
      <w:r w:rsidR="00250666" w:rsidRPr="00510FF9">
        <w:rPr>
          <w:rFonts w:asciiTheme="minorHAnsi" w:hAnsiTheme="minorHAnsi"/>
          <w:b/>
          <w:sz w:val="32"/>
          <w:szCs w:val="32"/>
          <w:lang w:val="es-ES"/>
        </w:rPr>
        <w:t xml:space="preserve"> días / 7 noches</w:t>
      </w:r>
    </w:p>
    <w:p w:rsidR="00E363B2" w:rsidRDefault="00E363B2" w:rsidP="00250666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:rsidR="00250666" w:rsidRPr="00510FF9" w:rsidRDefault="000730E2" w:rsidP="00250666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Llegadas: Especificas</w:t>
      </w:r>
    </w:p>
    <w:p w:rsidR="00C52A2A" w:rsidRDefault="00C52A2A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1.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Dubrovnik</w:t>
      </w:r>
    </w:p>
    <w:p w:rsidR="000650B2" w:rsidRPr="00214EF9" w:rsidRDefault="000650B2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0650B2">
        <w:rPr>
          <w:rFonts w:asciiTheme="minorHAnsi" w:eastAsia="Calibri" w:hAnsiTheme="minorHAnsi" w:cstheme="minorHAnsi"/>
          <w:sz w:val="20"/>
          <w:szCs w:val="20"/>
        </w:rPr>
        <w:t>Traslado desde el aeropuerto de Dubrovnik al</w:t>
      </w:r>
      <w:r w:rsidR="00214EF9">
        <w:rPr>
          <w:rFonts w:asciiTheme="minorHAnsi" w:eastAsia="Calibri" w:hAnsiTheme="minorHAnsi" w:cstheme="minorHAnsi"/>
          <w:sz w:val="20"/>
          <w:szCs w:val="20"/>
        </w:rPr>
        <w:t xml:space="preserve"> hotel. </w:t>
      </w:r>
      <w:r w:rsidR="00214EF9" w:rsidRPr="00214EF9">
        <w:rPr>
          <w:rFonts w:asciiTheme="minorHAnsi" w:eastAsia="Calibri" w:hAnsiTheme="minorHAnsi" w:cstheme="minorHAnsi"/>
          <w:b/>
          <w:sz w:val="20"/>
          <w:szCs w:val="20"/>
        </w:rPr>
        <w:t>Alojamiento.</w:t>
      </w:r>
    </w:p>
    <w:p w:rsidR="000650B2" w:rsidRPr="000650B2" w:rsidRDefault="000650B2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2.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Dubrovnik</w:t>
      </w:r>
    </w:p>
    <w:p w:rsidR="000650B2" w:rsidRPr="00904ADA" w:rsidRDefault="00904ADA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904ADA">
        <w:rPr>
          <w:rFonts w:asciiTheme="minorHAnsi" w:eastAsia="Calibri" w:hAnsiTheme="minorHAnsi" w:cstheme="minorHAnsi"/>
          <w:b/>
          <w:sz w:val="20"/>
          <w:szCs w:val="20"/>
        </w:rPr>
        <w:t>Desayuno.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>Mañana libre. Por la tarde visitaremos la ciudad llamada “La Perla del Adriático”. La antigua ciudad está en la lista de la UNESCO. Visitaremos la Catedral y el Monasterio Franciscano con la farmacia más antigua del mundo. El resto del día libre para explorar la ciudad.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04ADA">
        <w:rPr>
          <w:rFonts w:asciiTheme="minorHAnsi" w:eastAsia="Calibri" w:hAnsiTheme="minorHAnsi" w:cstheme="minorHAnsi"/>
          <w:b/>
          <w:sz w:val="20"/>
          <w:szCs w:val="20"/>
        </w:rPr>
        <w:t>Alojamiento.</w:t>
      </w:r>
    </w:p>
    <w:p w:rsidR="00BF32F6" w:rsidRPr="000650B2" w:rsidRDefault="00BF32F6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3.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Dubrovnik</w:t>
      </w:r>
    </w:p>
    <w:p w:rsidR="000650B2" w:rsidRDefault="00904ADA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904ADA">
        <w:rPr>
          <w:rFonts w:asciiTheme="minorHAnsi" w:eastAsia="Calibri" w:hAnsiTheme="minorHAnsi" w:cstheme="minorHAnsi"/>
          <w:b/>
          <w:sz w:val="20"/>
          <w:szCs w:val="20"/>
        </w:rPr>
        <w:t>Desayuno.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>Día libre para actividades de carácter personal o excursiones opcionales (a Montenegro).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04ADA">
        <w:rPr>
          <w:rFonts w:asciiTheme="minorHAnsi" w:eastAsia="Calibri" w:hAnsiTheme="minorHAnsi" w:cstheme="minorHAnsi"/>
          <w:b/>
          <w:sz w:val="20"/>
          <w:szCs w:val="20"/>
        </w:rPr>
        <w:t xml:space="preserve">Alojamiento. </w:t>
      </w:r>
    </w:p>
    <w:p w:rsidR="000650B2" w:rsidRPr="000650B2" w:rsidRDefault="000650B2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4. </w:t>
      </w:r>
      <w:proofErr w:type="spellStart"/>
      <w:r w:rsidR="00F8697E">
        <w:rPr>
          <w:rFonts w:asciiTheme="minorHAnsi" w:eastAsia="Calibri" w:hAnsiTheme="minorHAnsi" w:cstheme="minorHAnsi"/>
          <w:b/>
          <w:sz w:val="20"/>
          <w:szCs w:val="20"/>
        </w:rPr>
        <w:t>Dubrovnik</w:t>
      </w:r>
      <w:proofErr w:type="spellEnd"/>
      <w:r w:rsidR="00F8697E">
        <w:rPr>
          <w:rFonts w:asciiTheme="minorHAnsi" w:eastAsia="Calibri" w:hAnsiTheme="minorHAnsi" w:cstheme="minorHAnsi"/>
          <w:b/>
          <w:sz w:val="20"/>
          <w:szCs w:val="20"/>
        </w:rPr>
        <w:t xml:space="preserve"> - </w:t>
      </w:r>
      <w:proofErr w:type="spellStart"/>
      <w:r w:rsidR="00F8697E">
        <w:rPr>
          <w:rFonts w:asciiTheme="minorHAnsi" w:eastAsia="Calibri" w:hAnsiTheme="minorHAnsi" w:cstheme="minorHAnsi"/>
          <w:b/>
          <w:sz w:val="20"/>
          <w:szCs w:val="20"/>
        </w:rPr>
        <w:t>Medjugorje</w:t>
      </w:r>
      <w:proofErr w:type="spellEnd"/>
      <w:r w:rsidR="00F8697E">
        <w:rPr>
          <w:rFonts w:asciiTheme="minorHAnsi" w:eastAsia="Calibri" w:hAnsiTheme="minorHAnsi" w:cstheme="minorHAnsi"/>
          <w:b/>
          <w:sz w:val="20"/>
          <w:szCs w:val="20"/>
        </w:rPr>
        <w:t xml:space="preserve"> -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 xml:space="preserve"> Mostar  </w:t>
      </w:r>
    </w:p>
    <w:p w:rsidR="000650B2" w:rsidRPr="00904ADA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214EF9">
        <w:rPr>
          <w:rFonts w:asciiTheme="minorHAnsi" w:eastAsia="Calibri" w:hAnsiTheme="minorHAnsi" w:cstheme="minorHAnsi"/>
          <w:b/>
          <w:sz w:val="20"/>
          <w:szCs w:val="20"/>
        </w:rPr>
        <w:t>De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sayuno</w:t>
      </w:r>
      <w:r w:rsidRPr="00214EF9">
        <w:rPr>
          <w:rFonts w:asciiTheme="minorHAnsi" w:eastAsia="Calibri" w:hAnsiTheme="minorHAnsi" w:cstheme="minorHAnsi"/>
          <w:b/>
          <w:sz w:val="20"/>
          <w:szCs w:val="20"/>
        </w:rPr>
        <w:t>.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 salida hacia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Medjugorje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. Visita de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Medjugorje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, la ciudad preferida por los católicos, después de que en la colina cerca de la ciudad en el año 1981 apareció la Virgen María y comunicó su mensaje de la paz a los testigos. Continuamos el viaje a Mostar. Visita del símbolo de la ciudad, “El Puente Viejo”, construido de piedra en el siglo XVI y la Casa Turca. </w:t>
      </w:r>
      <w:r w:rsidR="000650B2" w:rsidRPr="00904ADA">
        <w:rPr>
          <w:rFonts w:asciiTheme="minorHAnsi" w:eastAsia="Calibri" w:hAnsiTheme="minorHAnsi" w:cstheme="minorHAnsi"/>
          <w:b/>
          <w:sz w:val="20"/>
          <w:szCs w:val="20"/>
        </w:rPr>
        <w:t>Aloj</w:t>
      </w:r>
      <w:r w:rsidR="00904ADA" w:rsidRPr="00904ADA">
        <w:rPr>
          <w:rFonts w:asciiTheme="minorHAnsi" w:eastAsia="Calibri" w:hAnsiTheme="minorHAnsi" w:cstheme="minorHAnsi"/>
          <w:b/>
          <w:sz w:val="20"/>
          <w:szCs w:val="20"/>
        </w:rPr>
        <w:t>amiento.</w:t>
      </w:r>
    </w:p>
    <w:p w:rsidR="000650B2" w:rsidRPr="00AF62B4" w:rsidRDefault="00AF62B4" w:rsidP="000650B2">
      <w:pPr>
        <w:pStyle w:val="Textosinformato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>
        <w:rPr>
          <w:rFonts w:asciiTheme="minorHAnsi" w:eastAsia="Calibri" w:hAnsiTheme="minorHAnsi" w:cstheme="minorHAnsi"/>
          <w:i/>
          <w:sz w:val="18"/>
          <w:szCs w:val="18"/>
        </w:rPr>
        <w:t>**</w:t>
      </w:r>
      <w:r w:rsidR="00904ADA" w:rsidRPr="00AF62B4">
        <w:rPr>
          <w:rFonts w:asciiTheme="minorHAnsi" w:eastAsia="Calibri" w:hAnsiTheme="minorHAnsi" w:cstheme="minorHAnsi"/>
          <w:i/>
          <w:sz w:val="18"/>
          <w:szCs w:val="18"/>
        </w:rPr>
        <w:t>En luga</w:t>
      </w:r>
      <w:r w:rsidR="002E0C7C">
        <w:rPr>
          <w:rFonts w:asciiTheme="minorHAnsi" w:eastAsia="Calibri" w:hAnsiTheme="minorHAnsi" w:cstheme="minorHAnsi"/>
          <w:i/>
          <w:sz w:val="18"/>
          <w:szCs w:val="18"/>
        </w:rPr>
        <w:t>r</w:t>
      </w:r>
      <w:r>
        <w:rPr>
          <w:rFonts w:asciiTheme="minorHAnsi" w:eastAsia="Calibri" w:hAnsiTheme="minorHAnsi" w:cstheme="minorHAnsi"/>
          <w:i/>
          <w:sz w:val="18"/>
          <w:szCs w:val="18"/>
        </w:rPr>
        <w:t xml:space="preserve"> de alojarse en Mostar</w:t>
      </w:r>
      <w:r w:rsidR="002E0C7C">
        <w:rPr>
          <w:rFonts w:asciiTheme="minorHAnsi" w:eastAsia="Calibri" w:hAnsiTheme="minorHAnsi" w:cstheme="minorHAnsi"/>
          <w:i/>
          <w:sz w:val="18"/>
          <w:szCs w:val="18"/>
        </w:rPr>
        <w:t xml:space="preserve">, </w:t>
      </w:r>
      <w:r w:rsidR="000650B2" w:rsidRPr="00AF62B4">
        <w:rPr>
          <w:rFonts w:asciiTheme="minorHAnsi" w:eastAsia="Calibri" w:hAnsiTheme="minorHAnsi" w:cstheme="minorHAnsi"/>
          <w:i/>
          <w:sz w:val="18"/>
          <w:szCs w:val="18"/>
        </w:rPr>
        <w:t xml:space="preserve">en ciertas ocasiones la noche se pasará en </w:t>
      </w:r>
      <w:proofErr w:type="spellStart"/>
      <w:r w:rsidR="000650B2" w:rsidRPr="00AF62B4">
        <w:rPr>
          <w:rFonts w:asciiTheme="minorHAnsi" w:eastAsia="Calibri" w:hAnsiTheme="minorHAnsi" w:cstheme="minorHAnsi"/>
          <w:i/>
          <w:sz w:val="18"/>
          <w:szCs w:val="18"/>
        </w:rPr>
        <w:t>Medjugorje</w:t>
      </w:r>
      <w:proofErr w:type="spellEnd"/>
      <w:r w:rsidR="000650B2" w:rsidRPr="00AF62B4">
        <w:rPr>
          <w:rFonts w:asciiTheme="minorHAnsi" w:eastAsia="Calibri" w:hAnsiTheme="minorHAnsi" w:cstheme="minorHAnsi"/>
          <w:i/>
          <w:sz w:val="18"/>
          <w:szCs w:val="18"/>
        </w:rPr>
        <w:t xml:space="preserve"> y se h</w:t>
      </w:r>
      <w:r w:rsidR="002E0C7C">
        <w:rPr>
          <w:rFonts w:asciiTheme="minorHAnsi" w:eastAsia="Calibri" w:hAnsiTheme="minorHAnsi" w:cstheme="minorHAnsi"/>
          <w:i/>
          <w:sz w:val="18"/>
          <w:szCs w:val="18"/>
        </w:rPr>
        <w:t>ará primero la visita de Mostar</w:t>
      </w:r>
      <w:r>
        <w:rPr>
          <w:rFonts w:asciiTheme="minorHAnsi" w:eastAsia="Calibri" w:hAnsiTheme="minorHAnsi" w:cstheme="minorHAnsi"/>
          <w:i/>
          <w:sz w:val="18"/>
          <w:szCs w:val="18"/>
        </w:rPr>
        <w:t>**</w:t>
      </w:r>
    </w:p>
    <w:p w:rsidR="00904ADA" w:rsidRPr="000650B2" w:rsidRDefault="00904ADA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5. </w:t>
      </w:r>
      <w:r w:rsidR="004D1F4F">
        <w:rPr>
          <w:rFonts w:asciiTheme="minorHAnsi" w:eastAsia="Calibri" w:hAnsiTheme="minorHAnsi" w:cstheme="minorHAnsi"/>
          <w:b/>
          <w:sz w:val="20"/>
          <w:szCs w:val="20"/>
        </w:rPr>
        <w:t xml:space="preserve">Mostar -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Sarajevo</w:t>
      </w:r>
    </w:p>
    <w:p w:rsidR="000650B2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214EF9">
        <w:rPr>
          <w:rFonts w:asciiTheme="minorHAnsi" w:eastAsia="Calibri" w:hAnsiTheme="minorHAnsi" w:cstheme="minorHAnsi"/>
          <w:b/>
          <w:sz w:val="20"/>
          <w:szCs w:val="20"/>
        </w:rPr>
        <w:t>D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esayuno</w:t>
      </w:r>
      <w:r w:rsidRPr="00214EF9">
        <w:rPr>
          <w:rFonts w:asciiTheme="minorHAnsi" w:eastAsia="Calibri" w:hAnsiTheme="minorHAnsi" w:cstheme="minorHAnsi"/>
          <w:b/>
          <w:sz w:val="20"/>
          <w:szCs w:val="20"/>
        </w:rPr>
        <w:t>.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 salida hacia Sarajevo. Llegada a la c</w:t>
      </w:r>
      <w:r w:rsidR="00C0023A">
        <w:rPr>
          <w:rFonts w:asciiTheme="minorHAnsi" w:eastAsia="Calibri" w:hAnsiTheme="minorHAnsi" w:cstheme="minorHAnsi"/>
          <w:sz w:val="20"/>
          <w:szCs w:val="20"/>
        </w:rPr>
        <w:t xml:space="preserve">apital de Bosnia y Herzegovina. </w:t>
      </w:r>
      <w:r w:rsidR="00C0023A" w:rsidRPr="00C0023A">
        <w:rPr>
          <w:rFonts w:asciiTheme="minorHAnsi" w:eastAsia="Calibri" w:hAnsiTheme="minorHAnsi" w:cstheme="minorHAnsi"/>
          <w:b/>
          <w:sz w:val="20"/>
          <w:szCs w:val="20"/>
        </w:rPr>
        <w:t>Alojamiento.</w:t>
      </w:r>
    </w:p>
    <w:p w:rsidR="000730E2" w:rsidRDefault="000730E2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6.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Sarajevo</w:t>
      </w:r>
    </w:p>
    <w:p w:rsidR="000650B2" w:rsidRPr="00A55A1F" w:rsidRDefault="00BD387D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D387D">
        <w:rPr>
          <w:rFonts w:asciiTheme="minorHAnsi" w:eastAsia="Calibri" w:hAnsiTheme="minorHAnsi" w:cstheme="minorHAnsi"/>
          <w:b/>
          <w:sz w:val="20"/>
          <w:szCs w:val="20"/>
        </w:rPr>
        <w:t xml:space="preserve">Desayuno. 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La visita de la ciudad incluye el pintoresco bazar “Bas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Carsija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”, la Mezquita de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Husref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Beg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 y el túnel de la Vida. Tarde li</w:t>
      </w:r>
      <w:r w:rsidR="00A55A1F">
        <w:rPr>
          <w:rFonts w:asciiTheme="minorHAnsi" w:eastAsia="Calibri" w:hAnsiTheme="minorHAnsi" w:cstheme="minorHAnsi"/>
          <w:sz w:val="20"/>
          <w:szCs w:val="20"/>
        </w:rPr>
        <w:t xml:space="preserve">bre para actividades personales. </w:t>
      </w:r>
      <w:r w:rsidR="00A55A1F" w:rsidRPr="00A55A1F">
        <w:rPr>
          <w:rFonts w:asciiTheme="minorHAnsi" w:eastAsia="Calibri" w:hAnsiTheme="minorHAnsi" w:cstheme="minorHAnsi"/>
          <w:b/>
          <w:sz w:val="20"/>
          <w:szCs w:val="20"/>
        </w:rPr>
        <w:t>Alojamiento.</w:t>
      </w:r>
    </w:p>
    <w:p w:rsidR="000650B2" w:rsidRPr="000650B2" w:rsidRDefault="000650B2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7. </w:t>
      </w:r>
      <w:r w:rsidR="004D1F4F">
        <w:rPr>
          <w:rFonts w:asciiTheme="minorHAnsi" w:eastAsia="Calibri" w:hAnsiTheme="minorHAnsi" w:cstheme="minorHAnsi"/>
          <w:b/>
          <w:sz w:val="20"/>
          <w:szCs w:val="20"/>
        </w:rPr>
        <w:t xml:space="preserve">Sarajevo -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 xml:space="preserve">Belgrado </w:t>
      </w:r>
    </w:p>
    <w:p w:rsidR="000650B2" w:rsidRPr="000650B2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43C13">
        <w:rPr>
          <w:rFonts w:asciiTheme="minorHAnsi" w:eastAsia="Calibri" w:hAnsiTheme="minorHAnsi" w:cstheme="minorHAnsi"/>
          <w:b/>
          <w:sz w:val="20"/>
          <w:szCs w:val="20"/>
        </w:rPr>
        <w:t>Desayuno</w:t>
      </w:r>
      <w:r w:rsidR="000650B2" w:rsidRPr="00E43C13">
        <w:rPr>
          <w:rFonts w:asciiTheme="minorHAnsi" w:eastAsia="Calibri" w:hAnsiTheme="minorHAnsi" w:cstheme="minorHAnsi"/>
          <w:b/>
          <w:sz w:val="20"/>
          <w:szCs w:val="20"/>
        </w:rPr>
        <w:t>.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 Hoy viajaremos hacia Serbia y su capital, la ciudad de Belgrado. Belgrado es una de las ciudades más antiguas de Europa con una historia que se remonta a casi 7.000 años y que también es conocida por su vibrante vida nocturna. Llegada a Belgrado y </w:t>
      </w:r>
      <w:r w:rsidR="000650B2" w:rsidRPr="00E43C13">
        <w:rPr>
          <w:rFonts w:asciiTheme="minorHAnsi" w:eastAsia="Calibri" w:hAnsiTheme="minorHAnsi" w:cstheme="minorHAnsi"/>
          <w:b/>
          <w:sz w:val="20"/>
          <w:szCs w:val="20"/>
        </w:rPr>
        <w:t>alojamiento.</w:t>
      </w:r>
    </w:p>
    <w:p w:rsidR="000730E2" w:rsidRPr="000650B2" w:rsidRDefault="000730E2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8. </w:t>
      </w:r>
      <w:r w:rsidR="00280AD7">
        <w:rPr>
          <w:rFonts w:asciiTheme="minorHAnsi" w:eastAsia="Calibri" w:hAnsiTheme="minorHAnsi" w:cstheme="minorHAnsi"/>
          <w:b/>
          <w:sz w:val="20"/>
          <w:szCs w:val="20"/>
        </w:rPr>
        <w:t xml:space="preserve"> Belgrado - </w:t>
      </w:r>
      <w:proofErr w:type="spellStart"/>
      <w:r w:rsidR="00280AD7">
        <w:rPr>
          <w:rFonts w:asciiTheme="minorHAnsi" w:eastAsia="Calibri" w:hAnsiTheme="minorHAnsi" w:cstheme="minorHAnsi"/>
          <w:b/>
          <w:sz w:val="20"/>
          <w:szCs w:val="20"/>
        </w:rPr>
        <w:t>Sremski</w:t>
      </w:r>
      <w:proofErr w:type="spellEnd"/>
      <w:r w:rsidR="00280AD7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="00280AD7">
        <w:rPr>
          <w:rFonts w:asciiTheme="minorHAnsi" w:eastAsia="Calibri" w:hAnsiTheme="minorHAnsi" w:cstheme="minorHAnsi"/>
          <w:b/>
          <w:sz w:val="20"/>
          <w:szCs w:val="20"/>
        </w:rPr>
        <w:t>Karlovci</w:t>
      </w:r>
      <w:proofErr w:type="spellEnd"/>
      <w:r w:rsidR="00280AD7">
        <w:rPr>
          <w:rFonts w:asciiTheme="minorHAnsi" w:eastAsia="Calibri" w:hAnsiTheme="minorHAnsi" w:cstheme="minorHAnsi"/>
          <w:b/>
          <w:sz w:val="20"/>
          <w:szCs w:val="20"/>
        </w:rPr>
        <w:t xml:space="preserve"> -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Novi</w:t>
      </w:r>
      <w:proofErr w:type="spellEnd"/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Sad</w:t>
      </w:r>
      <w:proofErr w:type="spellEnd"/>
      <w:r w:rsidR="00280AD7">
        <w:rPr>
          <w:rFonts w:asciiTheme="minorHAnsi" w:eastAsia="Calibri" w:hAnsiTheme="minorHAnsi" w:cstheme="minorHAnsi"/>
          <w:b/>
          <w:sz w:val="20"/>
          <w:szCs w:val="20"/>
        </w:rPr>
        <w:t xml:space="preserve">) </w:t>
      </w:r>
    </w:p>
    <w:p w:rsidR="000650B2" w:rsidRPr="00E43C13" w:rsidRDefault="000650B2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E43C13">
        <w:rPr>
          <w:rFonts w:asciiTheme="minorHAnsi" w:eastAsia="Calibri" w:hAnsiTheme="minorHAnsi" w:cstheme="minorHAnsi"/>
          <w:b/>
          <w:sz w:val="20"/>
          <w:szCs w:val="20"/>
        </w:rPr>
        <w:t>Desayuno.</w:t>
      </w:r>
      <w:r w:rsidRPr="000650B2">
        <w:rPr>
          <w:rFonts w:asciiTheme="minorHAnsi" w:eastAsia="Calibri" w:hAnsiTheme="minorHAnsi" w:cstheme="minorHAnsi"/>
          <w:sz w:val="20"/>
          <w:szCs w:val="20"/>
        </w:rPr>
        <w:t xml:space="preserve"> Por la mañana salida hacia </w:t>
      </w:r>
      <w:proofErr w:type="spellStart"/>
      <w:r w:rsidRPr="000650B2">
        <w:rPr>
          <w:rFonts w:asciiTheme="minorHAnsi" w:eastAsia="Calibri" w:hAnsiTheme="minorHAnsi" w:cstheme="minorHAnsi"/>
          <w:sz w:val="20"/>
          <w:szCs w:val="20"/>
        </w:rPr>
        <w:t>Sremski</w:t>
      </w:r>
      <w:proofErr w:type="spellEnd"/>
      <w:r w:rsidRPr="000650B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0650B2">
        <w:rPr>
          <w:rFonts w:asciiTheme="minorHAnsi" w:eastAsia="Calibri" w:hAnsiTheme="minorHAnsi" w:cstheme="minorHAnsi"/>
          <w:sz w:val="20"/>
          <w:szCs w:val="20"/>
        </w:rPr>
        <w:t>Karlovci</w:t>
      </w:r>
      <w:proofErr w:type="spellEnd"/>
      <w:r w:rsidRPr="000650B2">
        <w:rPr>
          <w:rFonts w:asciiTheme="minorHAnsi" w:eastAsia="Calibri" w:hAnsiTheme="minorHAnsi" w:cstheme="minorHAnsi"/>
          <w:sz w:val="20"/>
          <w:szCs w:val="20"/>
        </w:rPr>
        <w:t xml:space="preserve">, la ciudad-museo que durante los siglos XVIII y XIX fue el centro de la cultura y de la religión en Serbia. Incluida degustación de vino. Después de la visita salida hacia </w:t>
      </w:r>
      <w:proofErr w:type="spellStart"/>
      <w:r w:rsidRPr="000650B2">
        <w:rPr>
          <w:rFonts w:asciiTheme="minorHAnsi" w:eastAsia="Calibri" w:hAnsiTheme="minorHAnsi" w:cstheme="minorHAnsi"/>
          <w:sz w:val="20"/>
          <w:szCs w:val="20"/>
        </w:rPr>
        <w:t>Novi</w:t>
      </w:r>
      <w:proofErr w:type="spellEnd"/>
      <w:r w:rsidRPr="000650B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0650B2">
        <w:rPr>
          <w:rFonts w:asciiTheme="minorHAnsi" w:eastAsia="Calibri" w:hAnsiTheme="minorHAnsi" w:cstheme="minorHAnsi"/>
          <w:sz w:val="20"/>
          <w:szCs w:val="20"/>
        </w:rPr>
        <w:t>Sad</w:t>
      </w:r>
      <w:proofErr w:type="spellEnd"/>
      <w:r w:rsidRPr="000650B2">
        <w:rPr>
          <w:rFonts w:asciiTheme="minorHAnsi" w:eastAsia="Calibri" w:hAnsiTheme="minorHAnsi" w:cstheme="minorHAnsi"/>
          <w:sz w:val="20"/>
          <w:szCs w:val="20"/>
        </w:rPr>
        <w:t xml:space="preserve">, la capital de </w:t>
      </w:r>
      <w:proofErr w:type="spellStart"/>
      <w:r w:rsidRPr="000650B2">
        <w:rPr>
          <w:rFonts w:asciiTheme="minorHAnsi" w:eastAsia="Calibri" w:hAnsiTheme="minorHAnsi" w:cstheme="minorHAnsi"/>
          <w:sz w:val="20"/>
          <w:szCs w:val="20"/>
        </w:rPr>
        <w:t>Vojvodina</w:t>
      </w:r>
      <w:proofErr w:type="spellEnd"/>
      <w:r w:rsidRPr="000650B2">
        <w:rPr>
          <w:rFonts w:asciiTheme="minorHAnsi" w:eastAsia="Calibri" w:hAnsiTheme="minorHAnsi" w:cstheme="minorHAnsi"/>
          <w:sz w:val="20"/>
          <w:szCs w:val="20"/>
        </w:rPr>
        <w:t xml:space="preserve">. Es el centro administrativo, económico, cultural y universitario de la región, que además cuenta con la bien conservada Fortaleza de </w:t>
      </w:r>
      <w:proofErr w:type="spellStart"/>
      <w:r w:rsidRPr="000650B2">
        <w:rPr>
          <w:rFonts w:asciiTheme="minorHAnsi" w:eastAsia="Calibri" w:hAnsiTheme="minorHAnsi" w:cstheme="minorHAnsi"/>
          <w:sz w:val="20"/>
          <w:szCs w:val="20"/>
        </w:rPr>
        <w:t>Petrovaradin</w:t>
      </w:r>
      <w:proofErr w:type="spellEnd"/>
      <w:r w:rsidRPr="000650B2">
        <w:rPr>
          <w:rFonts w:asciiTheme="minorHAnsi" w:eastAsia="Calibri" w:hAnsiTheme="minorHAnsi" w:cstheme="minorHAnsi"/>
          <w:sz w:val="20"/>
          <w:szCs w:val="20"/>
        </w:rPr>
        <w:t xml:space="preserve"> que mira hacia la ciudad desde el otro lado del Danubio. Regreso a Belgrado.</w:t>
      </w:r>
      <w:r w:rsidR="00E43C13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43C13" w:rsidRPr="00E43C13">
        <w:rPr>
          <w:rFonts w:asciiTheme="minorHAnsi" w:eastAsia="Calibri" w:hAnsiTheme="minorHAnsi" w:cstheme="minorHAnsi"/>
          <w:b/>
          <w:sz w:val="20"/>
          <w:szCs w:val="20"/>
        </w:rPr>
        <w:t>Alojamiento.</w:t>
      </w:r>
    </w:p>
    <w:p w:rsidR="000650B2" w:rsidRDefault="000650B2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9.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Belgrado</w:t>
      </w:r>
    </w:p>
    <w:p w:rsidR="000650B2" w:rsidRPr="00B455BC" w:rsidRDefault="00B455BC" w:rsidP="000650B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455BC">
        <w:rPr>
          <w:rFonts w:asciiTheme="minorHAnsi" w:eastAsia="Calibri" w:hAnsiTheme="minorHAnsi" w:cstheme="minorHAnsi"/>
          <w:b/>
          <w:sz w:val="20"/>
          <w:szCs w:val="20"/>
        </w:rPr>
        <w:t>Desayuno.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Por la mañana visita de la ciudad de Belgrado con el guía local. Durante el tour a pie pasearemos por la famosa calle comercial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Knez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Mihailova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 y por el casco antiguo de la ciudad. A través de los siglos, Belgrado, la capital de Serbia, se ha modelado a sí misma entre las riberas del Danubio y del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Sava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, ríos que serpentean en torno a su construcción más emblemática, la Fortaleza de </w:t>
      </w:r>
      <w:proofErr w:type="spellStart"/>
      <w:r w:rsidR="000650B2" w:rsidRPr="000650B2">
        <w:rPr>
          <w:rFonts w:asciiTheme="minorHAnsi" w:eastAsia="Calibri" w:hAnsiTheme="minorHAnsi" w:cstheme="minorHAnsi"/>
          <w:sz w:val="20"/>
          <w:szCs w:val="20"/>
        </w:rPr>
        <w:t>Kalemegdan</w:t>
      </w:r>
      <w:proofErr w:type="spellEnd"/>
      <w:r w:rsidR="000650B2" w:rsidRPr="000650B2">
        <w:rPr>
          <w:rFonts w:asciiTheme="minorHAnsi" w:eastAsia="Calibri" w:hAnsiTheme="minorHAnsi" w:cstheme="minorHAnsi"/>
          <w:sz w:val="20"/>
          <w:szCs w:val="20"/>
        </w:rPr>
        <w:t xml:space="preserve">. El resto del día libre. </w:t>
      </w:r>
      <w:r w:rsidRPr="00B455BC">
        <w:rPr>
          <w:rFonts w:asciiTheme="minorHAnsi" w:eastAsia="Calibri" w:hAnsiTheme="minorHAnsi" w:cstheme="minorHAnsi"/>
          <w:b/>
          <w:sz w:val="20"/>
          <w:szCs w:val="20"/>
        </w:rPr>
        <w:t>Alojamiento.</w:t>
      </w:r>
    </w:p>
    <w:p w:rsidR="000650B2" w:rsidRPr="000650B2" w:rsidRDefault="000650B2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650B2" w:rsidRPr="00214EF9" w:rsidRDefault="00214EF9" w:rsidP="0093338A">
      <w:pPr>
        <w:pStyle w:val="Textosinformato"/>
        <w:tabs>
          <w:tab w:val="left" w:pos="2016"/>
        </w:tabs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Día 10. </w:t>
      </w:r>
      <w:r w:rsidR="000650B2" w:rsidRPr="00214EF9">
        <w:rPr>
          <w:rFonts w:asciiTheme="minorHAnsi" w:eastAsia="Calibri" w:hAnsiTheme="minorHAnsi" w:cstheme="minorHAnsi"/>
          <w:b/>
          <w:sz w:val="20"/>
          <w:szCs w:val="20"/>
        </w:rPr>
        <w:t>Belgrado</w:t>
      </w:r>
      <w:r w:rsidR="00305FD0">
        <w:rPr>
          <w:rFonts w:asciiTheme="minorHAnsi" w:eastAsia="Calibri" w:hAnsiTheme="minorHAnsi" w:cstheme="minorHAnsi"/>
          <w:b/>
          <w:sz w:val="20"/>
          <w:szCs w:val="20"/>
        </w:rPr>
        <w:t xml:space="preserve"> – México </w:t>
      </w:r>
    </w:p>
    <w:p w:rsidR="000650B2" w:rsidRPr="000650B2" w:rsidRDefault="00305FD0" w:rsidP="000650B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05FD0">
        <w:rPr>
          <w:rFonts w:asciiTheme="minorHAnsi" w:eastAsia="Calibri" w:hAnsiTheme="minorHAnsi" w:cstheme="minorHAnsi"/>
          <w:b/>
          <w:sz w:val="20"/>
          <w:szCs w:val="20"/>
        </w:rPr>
        <w:t>Desayuno.</w:t>
      </w:r>
      <w:r>
        <w:rPr>
          <w:rFonts w:asciiTheme="minorHAnsi" w:eastAsia="Calibri" w:hAnsiTheme="minorHAnsi" w:cstheme="minorHAnsi"/>
          <w:sz w:val="20"/>
          <w:szCs w:val="20"/>
        </w:rPr>
        <w:t xml:space="preserve"> A la hora indicada t</w:t>
      </w:r>
      <w:r w:rsidR="000650B2" w:rsidRPr="000650B2">
        <w:rPr>
          <w:rFonts w:asciiTheme="minorHAnsi" w:eastAsia="Calibri" w:hAnsiTheme="minorHAnsi" w:cstheme="minorHAnsi"/>
          <w:sz w:val="20"/>
          <w:szCs w:val="20"/>
        </w:rPr>
        <w:t>raslado al aero</w:t>
      </w:r>
      <w:r>
        <w:rPr>
          <w:rFonts w:asciiTheme="minorHAnsi" w:eastAsia="Calibri" w:hAnsiTheme="minorHAnsi" w:cstheme="minorHAnsi"/>
          <w:sz w:val="20"/>
          <w:szCs w:val="20"/>
        </w:rPr>
        <w:t xml:space="preserve">puerto. </w:t>
      </w:r>
    </w:p>
    <w:p w:rsidR="00305FD0" w:rsidRPr="00510FF9" w:rsidRDefault="00305FD0" w:rsidP="00250666">
      <w:pPr>
        <w:jc w:val="both"/>
        <w:rPr>
          <w:rFonts w:asciiTheme="minorHAnsi" w:hAnsiTheme="minorHAnsi"/>
          <w:sz w:val="20"/>
          <w:szCs w:val="20"/>
        </w:rPr>
      </w:pPr>
    </w:p>
    <w:p w:rsidR="00250666" w:rsidRPr="00510FF9" w:rsidRDefault="00250666" w:rsidP="00250666">
      <w:pPr>
        <w:rPr>
          <w:rFonts w:asciiTheme="minorHAnsi" w:hAnsiTheme="minorHAnsi"/>
          <w:b/>
          <w:bCs/>
          <w:sz w:val="20"/>
          <w:szCs w:val="20"/>
          <w:lang w:val="es-ES"/>
        </w:rPr>
      </w:pPr>
      <w:r w:rsidRPr="00510FF9">
        <w:rPr>
          <w:rFonts w:asciiTheme="minorHAnsi" w:hAnsiTheme="minorHAnsi"/>
          <w:b/>
          <w:bCs/>
          <w:sz w:val="20"/>
          <w:szCs w:val="20"/>
          <w:lang w:val="es-ES"/>
        </w:rPr>
        <w:t>FIN DE NUESTROS SERVICIOS.</w:t>
      </w:r>
    </w:p>
    <w:p w:rsidR="00E363B2" w:rsidRDefault="00E363B2" w:rsidP="00C52A2A">
      <w:pPr>
        <w:rPr>
          <w:sz w:val="20"/>
          <w:szCs w:val="20"/>
          <w:lang w:val="es-ES"/>
        </w:rPr>
      </w:pPr>
    </w:p>
    <w:p w:rsidR="00250666" w:rsidRPr="00B56B0D" w:rsidRDefault="00250666" w:rsidP="0025066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6389" wp14:editId="1F046220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666" w:rsidRPr="00F74623" w:rsidRDefault="00250666" w:rsidP="0025066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493B17">
                              <w:rPr>
                                <w:rFonts w:asciiTheme="minorHAnsi" w:hAnsiTheme="minorHAnsi"/>
                                <w:b/>
                                <w:i/>
                                <w:lang w:val="es-ES"/>
                              </w:rPr>
                              <w:t>JULIÁ TOURS</w:t>
                            </w: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 xml:space="preserve">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16389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50666" w:rsidRPr="00F74623" w:rsidRDefault="00250666" w:rsidP="0025066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493B17">
                        <w:rPr>
                          <w:rFonts w:asciiTheme="minorHAnsi" w:hAnsiTheme="minorHAnsi"/>
                          <w:b/>
                          <w:i/>
                          <w:lang w:val="es-ES"/>
                        </w:rPr>
                        <w:t>JULIÁ TOURS</w:t>
                      </w:r>
                      <w:r w:rsidRPr="00F74623">
                        <w:rPr>
                          <w:b/>
                          <w:i/>
                          <w:lang w:val="es-ES"/>
                        </w:rPr>
                        <w:t xml:space="preserve">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50666" w:rsidRPr="00B56B0D" w:rsidRDefault="00250666" w:rsidP="00250666">
      <w:pPr>
        <w:rPr>
          <w:sz w:val="20"/>
          <w:szCs w:val="20"/>
          <w:lang w:val="es-ES"/>
        </w:rPr>
      </w:pPr>
    </w:p>
    <w:p w:rsidR="00493B17" w:rsidRDefault="00493B17" w:rsidP="005D0F14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sz w:val="20"/>
          <w:szCs w:val="20"/>
        </w:rPr>
      </w:pPr>
    </w:p>
    <w:p w:rsidR="00250666" w:rsidRPr="005D0F14" w:rsidRDefault="004C128A" w:rsidP="002506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 noches de alojamiento en</w:t>
      </w:r>
      <w:r w:rsidR="008C2819">
        <w:rPr>
          <w:rFonts w:asciiTheme="minorHAnsi" w:hAnsiTheme="minorHAnsi"/>
          <w:sz w:val="20"/>
          <w:szCs w:val="20"/>
        </w:rPr>
        <w:t xml:space="preserve"> Dubrovnik, 1 en Mostar</w:t>
      </w:r>
      <w:r w:rsidR="000A20AB">
        <w:rPr>
          <w:rFonts w:asciiTheme="minorHAnsi" w:hAnsiTheme="minorHAnsi"/>
          <w:sz w:val="20"/>
          <w:szCs w:val="20"/>
        </w:rPr>
        <w:t xml:space="preserve">, 2 en Sarajevo y 3 en </w:t>
      </w:r>
      <w:r w:rsidR="00E55709">
        <w:rPr>
          <w:rFonts w:asciiTheme="minorHAnsi" w:hAnsiTheme="minorHAnsi"/>
          <w:sz w:val="20"/>
          <w:szCs w:val="20"/>
        </w:rPr>
        <w:t>Belgrado.</w:t>
      </w:r>
    </w:p>
    <w:p w:rsidR="00250666" w:rsidRPr="005D0F14" w:rsidRDefault="00250666" w:rsidP="002506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 xml:space="preserve">7 desayunos </w:t>
      </w:r>
    </w:p>
    <w:p w:rsidR="00250666" w:rsidRPr="005D0F14" w:rsidRDefault="00250666" w:rsidP="002506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Traslados aeropuerto/hotel/aeropuerto en servicio compartido.</w:t>
      </w:r>
    </w:p>
    <w:p w:rsidR="00250666" w:rsidRPr="005D0F14" w:rsidRDefault="00250666" w:rsidP="0025066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Visitas según itinerario en servicio compartido.</w:t>
      </w:r>
    </w:p>
    <w:p w:rsidR="00EC3938" w:rsidRDefault="00250666" w:rsidP="00E363B2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Transporte y guía de habla hispana durante su recorrido.</w:t>
      </w:r>
    </w:p>
    <w:p w:rsidR="00C52A2A" w:rsidRPr="00C52A2A" w:rsidRDefault="00C52A2A" w:rsidP="00C52A2A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rFonts w:asciiTheme="minorHAnsi" w:hAnsiTheme="minorHAnsi"/>
          <w:sz w:val="20"/>
          <w:szCs w:val="20"/>
        </w:rPr>
      </w:pPr>
    </w:p>
    <w:p w:rsidR="00D00A3D" w:rsidRPr="005D0F14" w:rsidRDefault="00D00A3D" w:rsidP="00D00A3D">
      <w:pPr>
        <w:ind w:left="142"/>
        <w:rPr>
          <w:rFonts w:asciiTheme="minorHAnsi" w:hAnsiTheme="minorHAnsi"/>
          <w:b/>
        </w:rPr>
      </w:pPr>
      <w:r w:rsidRPr="005D0F14">
        <w:rPr>
          <w:rFonts w:asciiTheme="minorHAnsi" w:hAnsiTheme="minorHAnsi"/>
          <w:b/>
        </w:rPr>
        <w:t>NO Incluye</w:t>
      </w:r>
    </w:p>
    <w:p w:rsidR="00D00A3D" w:rsidRPr="005D0F14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Vuelos internacionales y domésticos</w:t>
      </w:r>
    </w:p>
    <w:p w:rsidR="00D00A3D" w:rsidRPr="005D0F14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Excursiones opcionales</w:t>
      </w:r>
    </w:p>
    <w:p w:rsidR="00D00A3D" w:rsidRPr="005D0F14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Bebidas en las comidas mencionadas</w:t>
      </w:r>
    </w:p>
    <w:p w:rsidR="00D00A3D" w:rsidRPr="005D0F14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Ningún servicio no especificado</w:t>
      </w:r>
    </w:p>
    <w:p w:rsidR="00D00A3D" w:rsidRPr="005D0F14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>Gastos personales</w:t>
      </w:r>
    </w:p>
    <w:p w:rsidR="00D00A3D" w:rsidRPr="005D0F14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asciiTheme="minorHAnsi" w:eastAsia="Calibri" w:hAnsiTheme="minorHAnsi" w:cs="Tahoma"/>
          <w:b/>
          <w:color w:val="000000" w:themeColor="text1"/>
        </w:rPr>
      </w:pPr>
      <w:r w:rsidRPr="005D0F14">
        <w:rPr>
          <w:rFonts w:asciiTheme="minorHAnsi" w:hAnsiTheme="minorHAnsi"/>
          <w:sz w:val="20"/>
          <w:szCs w:val="20"/>
        </w:rPr>
        <w:t>Propinas</w:t>
      </w:r>
    </w:p>
    <w:p w:rsidR="00D00A3D" w:rsidRPr="005D0F14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asciiTheme="minorHAnsi" w:hAnsiTheme="minorHAnsi"/>
          <w:sz w:val="20"/>
          <w:szCs w:val="20"/>
        </w:rPr>
      </w:pPr>
      <w:r w:rsidRPr="005D0F14">
        <w:rPr>
          <w:rFonts w:asciiTheme="minorHAnsi" w:hAnsiTheme="minorHAnsi"/>
          <w:sz w:val="20"/>
          <w:szCs w:val="20"/>
        </w:rPr>
        <w:t xml:space="preserve">Seguro de asistencia en viaje con cobertura COVID </w:t>
      </w:r>
    </w:p>
    <w:p w:rsidR="00D00A3D" w:rsidRDefault="00D00A3D" w:rsidP="00D00A3D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</w:p>
    <w:p w:rsidR="00E363B2" w:rsidRDefault="00E363B2" w:rsidP="00D00A3D">
      <w:pPr>
        <w:tabs>
          <w:tab w:val="left" w:pos="851"/>
        </w:tabs>
        <w:rPr>
          <w:sz w:val="20"/>
          <w:szCs w:val="20"/>
        </w:rPr>
      </w:pPr>
    </w:p>
    <w:tbl>
      <w:tblPr>
        <w:tblW w:w="3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43"/>
        <w:gridCol w:w="389"/>
      </w:tblGrid>
      <w:tr w:rsidR="00272430" w:rsidRPr="00272430" w:rsidTr="00BD20FD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72430" w:rsidRPr="00272430" w:rsidRDefault="00272430" w:rsidP="0027243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Llegadas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72430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Martes</w:t>
            </w:r>
          </w:p>
        </w:tc>
      </w:tr>
      <w:tr w:rsidR="00BD20FD" w:rsidRPr="00272430" w:rsidTr="00BD20F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0FD" w:rsidRPr="00272430" w:rsidRDefault="00BD20FD" w:rsidP="002724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Abril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20FD" w:rsidRPr="00272430" w:rsidTr="00BD20F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0FD" w:rsidRPr="00272430" w:rsidRDefault="00BD20FD" w:rsidP="002724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Mayo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20FD" w:rsidRPr="00272430" w:rsidTr="00BD20F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0FD" w:rsidRPr="00272430" w:rsidRDefault="00BD20FD" w:rsidP="002724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Junio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20FD" w:rsidRPr="00272430" w:rsidTr="00BD20F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0FD" w:rsidRPr="00272430" w:rsidRDefault="00BD20FD" w:rsidP="002724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Julio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20FD" w:rsidRPr="00272430" w:rsidTr="00BD20F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0FD" w:rsidRPr="00272430" w:rsidRDefault="00BD20FD" w:rsidP="002724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Agosto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20FD" w:rsidRPr="00272430" w:rsidTr="00BD20FD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0FD" w:rsidRPr="00272430" w:rsidRDefault="00BD20FD" w:rsidP="002724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Septiembre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FD" w:rsidRPr="00272430" w:rsidRDefault="00BD20FD" w:rsidP="003121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D20FD" w:rsidRPr="00272430" w:rsidTr="00BD20FD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20FD" w:rsidRPr="00272430" w:rsidRDefault="00BD20FD" w:rsidP="002724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24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Octubre 202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20FD" w:rsidRPr="00272430" w:rsidRDefault="00BD20FD" w:rsidP="002724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805D90" w:rsidRDefault="00805D90" w:rsidP="00961D86">
      <w:pPr>
        <w:tabs>
          <w:tab w:val="left" w:pos="1995"/>
        </w:tabs>
        <w:rPr>
          <w:rFonts w:eastAsia="Calibri" w:cs="Tahoma"/>
          <w:b/>
          <w:color w:val="000000" w:themeColor="text1"/>
        </w:rPr>
      </w:pPr>
    </w:p>
    <w:p w:rsidR="00C52A2A" w:rsidRDefault="00C52A2A" w:rsidP="00961D86">
      <w:pPr>
        <w:tabs>
          <w:tab w:val="left" w:pos="1995"/>
        </w:tabs>
        <w:rPr>
          <w:rFonts w:eastAsia="Calibri" w:cs="Tahoma"/>
          <w:b/>
          <w:color w:val="000000" w:themeColor="text1"/>
        </w:rPr>
      </w:pPr>
    </w:p>
    <w:tbl>
      <w:tblPr>
        <w:tblW w:w="6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992"/>
        <w:gridCol w:w="992"/>
      </w:tblGrid>
      <w:tr w:rsidR="00805D90" w:rsidTr="000D4C8C">
        <w:trPr>
          <w:trHeight w:val="313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TARIFA EN EUROS POR PERSONA </w:t>
            </w:r>
          </w:p>
        </w:tc>
      </w:tr>
      <w:tr w:rsidR="00805D90" w:rsidTr="000D4C8C">
        <w:trPr>
          <w:trHeight w:val="313"/>
        </w:trPr>
        <w:tc>
          <w:tcPr>
            <w:tcW w:w="69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SERVICIOS TERRESTRES EXCLUSIVAMENTE               (MÍNIMO 2 PASAJEROS) </w:t>
            </w:r>
          </w:p>
        </w:tc>
      </w:tr>
      <w:tr w:rsidR="000D4C8C" w:rsidTr="000D4C8C">
        <w:trPr>
          <w:trHeight w:val="313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01 Abril 2024 - 31 Octubre 2025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DOBLE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SENCILLA</w:t>
            </w:r>
          </w:p>
        </w:tc>
      </w:tr>
      <w:tr w:rsidR="000D4C8C" w:rsidTr="000D4C8C">
        <w:trPr>
          <w:trHeight w:val="298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PRIMERA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2715</w:t>
            </w:r>
          </w:p>
        </w:tc>
      </w:tr>
      <w:tr w:rsidR="00805D90" w:rsidTr="000D4C8C">
        <w:trPr>
          <w:trHeight w:val="29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Supl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 salida: 15 Oct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25</w:t>
            </w:r>
          </w:p>
        </w:tc>
      </w:tr>
      <w:tr w:rsidR="00805D90" w:rsidTr="000D4C8C">
        <w:trPr>
          <w:trHeight w:val="31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Supl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 salida: 01 Oct 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130</w:t>
            </w:r>
          </w:p>
        </w:tc>
      </w:tr>
      <w:tr w:rsidR="00805D90" w:rsidTr="000D4C8C">
        <w:trPr>
          <w:trHeight w:val="313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Supl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 salidas: 14, 28 May 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175</w:t>
            </w:r>
          </w:p>
        </w:tc>
      </w:tr>
      <w:tr w:rsidR="00805D90" w:rsidTr="000D4C8C">
        <w:trPr>
          <w:trHeight w:val="313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Supl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salidas: 4, 18 Jun // 24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Sep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230</w:t>
            </w:r>
          </w:p>
        </w:tc>
      </w:tr>
      <w:tr w:rsidR="00805D90" w:rsidTr="000D4C8C">
        <w:trPr>
          <w:trHeight w:val="29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Supl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salidas: 2, 16, 30 Jul // 13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Ago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330</w:t>
            </w:r>
          </w:p>
        </w:tc>
      </w:tr>
      <w:tr w:rsidR="00805D90" w:rsidTr="000D4C8C">
        <w:trPr>
          <w:trHeight w:val="298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Supl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. Salidas: 27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Ago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// 10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Sep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  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375</w:t>
            </w:r>
          </w:p>
        </w:tc>
      </w:tr>
      <w:tr w:rsidR="00805D90" w:rsidTr="000D4C8C">
        <w:trPr>
          <w:trHeight w:val="313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Supl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 Media Pensión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360</w:t>
            </w:r>
          </w:p>
        </w:tc>
      </w:tr>
      <w:tr w:rsidR="00B44F53" w:rsidTr="00FA2F8E">
        <w:trPr>
          <w:trHeight w:val="313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44F53" w:rsidRDefault="00B44F53" w:rsidP="00B44F5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TARIFAS SUJETAS A DISPONIBILIDAD Y CAMBIO  SIN PREVIO AVISO  </w:t>
            </w:r>
          </w:p>
        </w:tc>
      </w:tr>
      <w:tr w:rsidR="00805D90" w:rsidTr="000D4C8C">
        <w:trPr>
          <w:trHeight w:val="313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5D90" w:rsidRDefault="00805D9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CONSULTAR SUPLEMENTO PARA SEMANA SANTA, VERANO, NAVIDAD Y FIN DE AÑO</w:t>
            </w:r>
          </w:p>
        </w:tc>
      </w:tr>
    </w:tbl>
    <w:p w:rsidR="000D4C8C" w:rsidRDefault="000D4C8C" w:rsidP="00961D86">
      <w:pPr>
        <w:tabs>
          <w:tab w:val="left" w:pos="1995"/>
        </w:tabs>
        <w:rPr>
          <w:rFonts w:eastAsia="Calibri" w:cs="Tahoma"/>
          <w:b/>
          <w:color w:val="000000" w:themeColor="text1"/>
        </w:rPr>
      </w:pPr>
    </w:p>
    <w:p w:rsidR="000D4C8C" w:rsidRDefault="000D4C8C" w:rsidP="00961D86">
      <w:pPr>
        <w:tabs>
          <w:tab w:val="left" w:pos="1995"/>
        </w:tabs>
        <w:rPr>
          <w:rFonts w:eastAsia="Calibri" w:cs="Tahoma"/>
          <w:b/>
          <w:color w:val="000000" w:themeColor="text1"/>
        </w:rPr>
      </w:pPr>
    </w:p>
    <w:p w:rsidR="00C52A2A" w:rsidRDefault="00C52A2A" w:rsidP="00961D86">
      <w:pPr>
        <w:tabs>
          <w:tab w:val="left" w:pos="1995"/>
        </w:tabs>
        <w:rPr>
          <w:rFonts w:eastAsia="Calibri" w:cs="Tahoma"/>
          <w:b/>
          <w:color w:val="000000" w:themeColor="text1"/>
        </w:rPr>
      </w:pPr>
    </w:p>
    <w:tbl>
      <w:tblPr>
        <w:tblW w:w="7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4027"/>
      </w:tblGrid>
      <w:tr w:rsidR="00961D86" w:rsidRPr="00521316" w:rsidTr="000E2861">
        <w:trPr>
          <w:trHeight w:val="59"/>
        </w:trPr>
        <w:tc>
          <w:tcPr>
            <w:tcW w:w="71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961D86" w:rsidRPr="00521316" w:rsidRDefault="00961D86" w:rsidP="000E28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213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HOTELES PREVISTOS O SIMILARES </w:t>
            </w:r>
          </w:p>
        </w:tc>
      </w:tr>
      <w:tr w:rsidR="00961D86" w:rsidRPr="00521316" w:rsidTr="000E2861">
        <w:trPr>
          <w:trHeight w:val="6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61D86" w:rsidRPr="00521316" w:rsidRDefault="00961D86" w:rsidP="000E28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213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961D86" w:rsidRPr="00521316" w:rsidRDefault="00961D86" w:rsidP="000E28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213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Ciudad 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961D86" w:rsidRPr="00521316" w:rsidRDefault="00961D86" w:rsidP="000E28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52131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Hotel </w:t>
            </w:r>
          </w:p>
        </w:tc>
      </w:tr>
      <w:tr w:rsidR="00AB473B" w:rsidRPr="00521316" w:rsidTr="00B45702">
        <w:trPr>
          <w:trHeight w:val="59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73B" w:rsidRPr="00521316" w:rsidRDefault="00AB473B" w:rsidP="00AB47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131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PRIMERA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73B" w:rsidRPr="00521316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Dubrovnik</w:t>
            </w:r>
          </w:p>
        </w:tc>
        <w:tc>
          <w:tcPr>
            <w:tcW w:w="40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73B" w:rsidRPr="00521316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Lacroma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Argosy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Remise</w:t>
            </w:r>
            <w:r w:rsidR="00784578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Albatros </w:t>
            </w:r>
          </w:p>
        </w:tc>
      </w:tr>
      <w:tr w:rsidR="00AB473B" w:rsidRPr="00961D86" w:rsidTr="00B45702">
        <w:trPr>
          <w:trHeight w:val="59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73B" w:rsidRPr="00521316" w:rsidRDefault="00AB473B" w:rsidP="00AB47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73B" w:rsidRPr="00521316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Mostar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73B" w:rsidRPr="00E478BA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Eden /</w:t>
            </w:r>
            <w:r w:rsidR="00D2403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Mepas</w:t>
            </w:r>
            <w:proofErr w:type="spellEnd"/>
          </w:p>
        </w:tc>
      </w:tr>
      <w:tr w:rsidR="00AB473B" w:rsidRPr="00521316" w:rsidTr="00B45702">
        <w:trPr>
          <w:trHeight w:val="155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73B" w:rsidRPr="00E478BA" w:rsidRDefault="00AB473B" w:rsidP="00AB47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73B" w:rsidRPr="00521316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Sarajevo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73B" w:rsidRPr="00521316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President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473B" w:rsidRPr="00521316" w:rsidTr="00B45702">
        <w:trPr>
          <w:trHeight w:val="155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473B" w:rsidRPr="00E478BA" w:rsidRDefault="00AB473B" w:rsidP="00AB473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73B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Belgrado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73B" w:rsidRDefault="00AB473B" w:rsidP="00AB47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Prag</w:t>
            </w:r>
            <w:proofErr w:type="spellEnd"/>
          </w:p>
        </w:tc>
      </w:tr>
    </w:tbl>
    <w:p w:rsidR="00272430" w:rsidRPr="00296E02" w:rsidRDefault="00272430" w:rsidP="00296E02">
      <w:pPr>
        <w:jc w:val="both"/>
        <w:rPr>
          <w:rFonts w:asciiTheme="minorHAnsi" w:eastAsia="Calibri" w:hAnsiTheme="minorHAnsi" w:cs="Tahoma"/>
          <w:b/>
          <w:color w:val="000000" w:themeColor="text1"/>
        </w:rPr>
      </w:pPr>
    </w:p>
    <w:p w:rsidR="00C52A2A" w:rsidRDefault="00C52A2A" w:rsidP="00296E02">
      <w:pPr>
        <w:jc w:val="both"/>
        <w:rPr>
          <w:rFonts w:asciiTheme="minorHAnsi" w:eastAsia="Calibri" w:hAnsiTheme="minorHAnsi" w:cs="Tahoma"/>
          <w:b/>
          <w:color w:val="000000" w:themeColor="text1"/>
        </w:rPr>
      </w:pPr>
    </w:p>
    <w:p w:rsidR="00C52A2A" w:rsidRDefault="00C52A2A" w:rsidP="00296E02">
      <w:pPr>
        <w:jc w:val="both"/>
        <w:rPr>
          <w:rFonts w:asciiTheme="minorHAnsi" w:eastAsia="Calibri" w:hAnsiTheme="minorHAnsi" w:cs="Tahoma"/>
          <w:b/>
          <w:color w:val="000000" w:themeColor="text1"/>
        </w:rPr>
      </w:pPr>
    </w:p>
    <w:p w:rsidR="00D00A3D" w:rsidRPr="00296E02" w:rsidRDefault="00D00A3D" w:rsidP="00296E02">
      <w:pPr>
        <w:jc w:val="both"/>
        <w:rPr>
          <w:rFonts w:asciiTheme="minorHAnsi" w:eastAsia="Calibri" w:hAnsiTheme="minorHAnsi" w:cs="Tahoma"/>
          <w:b/>
          <w:color w:val="000000" w:themeColor="text1"/>
        </w:rPr>
      </w:pPr>
      <w:r w:rsidRPr="00296E02">
        <w:rPr>
          <w:rFonts w:asciiTheme="minorHAnsi" w:eastAsia="Calibri" w:hAnsiTheme="minorHAnsi" w:cs="Tahoma"/>
          <w:b/>
          <w:color w:val="000000" w:themeColor="text1"/>
        </w:rPr>
        <w:t>NOTAS IMPORTANTES:</w:t>
      </w:r>
    </w:p>
    <w:p w:rsidR="00D00A3D" w:rsidRPr="00296E02" w:rsidRDefault="00D00A3D" w:rsidP="00296E02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rFonts w:asciiTheme="minorHAnsi" w:hAnsiTheme="minorHAnsi"/>
          <w:sz w:val="20"/>
          <w:szCs w:val="20"/>
        </w:rPr>
      </w:pPr>
      <w:r w:rsidRPr="00296E02">
        <w:rPr>
          <w:rStyle w:val="Textoennegrita"/>
          <w:rFonts w:asciiTheme="minorHAnsi" w:hAnsiTheme="minorHAnsi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D00A3D" w:rsidRPr="00296E02" w:rsidRDefault="00D00A3D" w:rsidP="00296E02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rFonts w:asciiTheme="minorHAnsi" w:hAnsiTheme="minorHAnsi"/>
          <w:sz w:val="20"/>
          <w:szCs w:val="20"/>
        </w:rPr>
      </w:pPr>
      <w:r w:rsidRPr="00296E02">
        <w:rPr>
          <w:rStyle w:val="Textoennegrita"/>
          <w:rFonts w:asciiTheme="minorHAnsi" w:hAnsiTheme="minorHAnsi"/>
          <w:sz w:val="20"/>
          <w:szCs w:val="20"/>
        </w:rPr>
        <w:t>El orden de los servicios podría variar según disponibilidad aérea y/o terrestre.</w:t>
      </w:r>
    </w:p>
    <w:p w:rsidR="00D00A3D" w:rsidRPr="00296E02" w:rsidRDefault="00D00A3D" w:rsidP="00296E02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rFonts w:asciiTheme="minorHAnsi" w:hAnsiTheme="minorHAnsi"/>
          <w:sz w:val="20"/>
          <w:szCs w:val="20"/>
        </w:rPr>
      </w:pPr>
      <w:r w:rsidRPr="00296E02">
        <w:rPr>
          <w:rStyle w:val="Textoennegrita"/>
          <w:rFonts w:asciiTheme="minorHAnsi" w:hAnsiTheme="minorHAnsi"/>
          <w:sz w:val="20"/>
          <w:szCs w:val="20"/>
        </w:rPr>
        <w:t xml:space="preserve">Recomendamos viajar bajo la cobertura de una póliza de Seguro más amplia. Su ejecutivo de </w:t>
      </w:r>
      <w:proofErr w:type="spellStart"/>
      <w:r w:rsidRPr="00296E02">
        <w:rPr>
          <w:rStyle w:val="Textoennegrita"/>
          <w:rFonts w:asciiTheme="minorHAnsi" w:hAnsiTheme="minorHAnsi"/>
          <w:sz w:val="20"/>
          <w:szCs w:val="20"/>
        </w:rPr>
        <w:t>JuliàTours</w:t>
      </w:r>
      <w:proofErr w:type="spellEnd"/>
      <w:r w:rsidRPr="00296E02">
        <w:rPr>
          <w:rStyle w:val="Textoennegrita"/>
          <w:rFonts w:asciiTheme="minorHAnsi" w:hAnsiTheme="minorHAnsi"/>
          <w:sz w:val="20"/>
          <w:szCs w:val="20"/>
        </w:rPr>
        <w:t xml:space="preserve"> puede informarle.  </w:t>
      </w:r>
    </w:p>
    <w:p w:rsidR="00D00A3D" w:rsidRPr="00296E02" w:rsidRDefault="00D00A3D" w:rsidP="00296E02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96E02">
        <w:rPr>
          <w:rFonts w:asciiTheme="minorHAnsi" w:hAnsiTheme="minorHAnsi"/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D00A3D" w:rsidRPr="00296E02" w:rsidRDefault="00D00A3D" w:rsidP="00296E02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6E02">
        <w:rPr>
          <w:rFonts w:asciiTheme="minorHAnsi" w:hAnsiTheme="minorHAnsi"/>
          <w:sz w:val="20"/>
          <w:szCs w:val="20"/>
        </w:rPr>
        <w:t>Algunos hoteles cobran un resort fee que el pasajero deberá pagar en destino.</w:t>
      </w:r>
    </w:p>
    <w:p w:rsidR="00D00A3D" w:rsidRPr="00296E02" w:rsidRDefault="00D00A3D" w:rsidP="00296E02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6E02">
        <w:rPr>
          <w:rFonts w:asciiTheme="minorHAnsi" w:hAnsiTheme="minorHAnsi"/>
          <w:sz w:val="20"/>
          <w:szCs w:val="20"/>
        </w:rPr>
        <w:t xml:space="preserve">El Horario estándar del </w:t>
      </w:r>
      <w:proofErr w:type="spellStart"/>
      <w:r w:rsidRPr="00296E02">
        <w:rPr>
          <w:rFonts w:asciiTheme="minorHAnsi" w:hAnsiTheme="minorHAnsi"/>
          <w:sz w:val="20"/>
          <w:szCs w:val="20"/>
        </w:rPr>
        <w:t>Check</w:t>
      </w:r>
      <w:proofErr w:type="spellEnd"/>
      <w:r w:rsidRPr="00296E02">
        <w:rPr>
          <w:rFonts w:asciiTheme="minorHAnsi" w:hAnsiTheme="minorHAnsi"/>
          <w:sz w:val="20"/>
          <w:szCs w:val="20"/>
        </w:rPr>
        <w:t xml:space="preserve"> in 15:00hrs y el </w:t>
      </w:r>
      <w:proofErr w:type="spellStart"/>
      <w:r w:rsidRPr="00296E02">
        <w:rPr>
          <w:rFonts w:asciiTheme="minorHAnsi" w:hAnsiTheme="minorHAnsi"/>
          <w:sz w:val="20"/>
          <w:szCs w:val="20"/>
        </w:rPr>
        <w:t>Check</w:t>
      </w:r>
      <w:proofErr w:type="spellEnd"/>
      <w:r w:rsidRPr="00296E0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96E02">
        <w:rPr>
          <w:rFonts w:asciiTheme="minorHAnsi" w:hAnsiTheme="minorHAnsi"/>
          <w:sz w:val="20"/>
          <w:szCs w:val="20"/>
        </w:rPr>
        <w:t>Out</w:t>
      </w:r>
      <w:proofErr w:type="spellEnd"/>
      <w:r w:rsidRPr="00296E02">
        <w:rPr>
          <w:rFonts w:asciiTheme="minorHAnsi" w:hAnsiTheme="minorHAnsi"/>
          <w:sz w:val="20"/>
          <w:szCs w:val="20"/>
        </w:rPr>
        <w:t xml:space="preserve"> 10:00hrs.</w:t>
      </w:r>
    </w:p>
    <w:p w:rsidR="00D00A3D" w:rsidRPr="00296E02" w:rsidRDefault="00D00A3D" w:rsidP="00296E0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96E02">
        <w:rPr>
          <w:rFonts w:asciiTheme="minorHAnsi" w:hAnsiTheme="minorHAnsi"/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E57E1E" w:rsidRPr="00296E02" w:rsidRDefault="00E57E1E" w:rsidP="00296E0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96E02">
        <w:rPr>
          <w:rFonts w:asciiTheme="minorHAnsi" w:hAnsiTheme="minorHAnsi"/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8900FA" w:rsidRDefault="008900FA" w:rsidP="00296E0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296E02">
        <w:rPr>
          <w:rFonts w:asciiTheme="minorHAnsi" w:hAnsiTheme="minorHAnsi"/>
          <w:sz w:val="20"/>
          <w:szCs w:val="20"/>
        </w:rPr>
        <w:t>Hoteles son previstos o similares, sujetos a cambios en cualquier momento aun estando en el destino, sin reembolso o compensación.</w:t>
      </w:r>
    </w:p>
    <w:p w:rsidR="00464A88" w:rsidRPr="00296E02" w:rsidRDefault="00330A65" w:rsidP="00296E02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suplemento de Media P</w:t>
      </w:r>
      <w:r w:rsidR="00464A88">
        <w:rPr>
          <w:rFonts w:asciiTheme="minorHAnsi" w:hAnsiTheme="minorHAnsi"/>
          <w:sz w:val="20"/>
          <w:szCs w:val="20"/>
        </w:rPr>
        <w:t>ensión: consiste en las cenas diarias en los Hoteles del Tour, para confirmar el servicio se requiere reservar el servicio tres semanas antes del comienzo del Tour, en caso contrario</w:t>
      </w:r>
      <w:r>
        <w:rPr>
          <w:rFonts w:asciiTheme="minorHAnsi" w:hAnsiTheme="minorHAnsi"/>
          <w:sz w:val="20"/>
          <w:szCs w:val="20"/>
        </w:rPr>
        <w:t xml:space="preserve"> </w:t>
      </w:r>
      <w:r w:rsidR="00A2522D">
        <w:rPr>
          <w:rFonts w:asciiTheme="minorHAnsi" w:hAnsiTheme="minorHAnsi"/>
          <w:sz w:val="20"/>
          <w:szCs w:val="20"/>
        </w:rPr>
        <w:t>la Media</w:t>
      </w:r>
      <w:r>
        <w:rPr>
          <w:rFonts w:asciiTheme="minorHAnsi" w:hAnsiTheme="minorHAnsi"/>
          <w:sz w:val="20"/>
          <w:szCs w:val="20"/>
        </w:rPr>
        <w:t xml:space="preserve"> Pensión </w:t>
      </w:r>
      <w:r w:rsidR="00464A88">
        <w:rPr>
          <w:rFonts w:asciiTheme="minorHAnsi" w:hAnsiTheme="minorHAnsi"/>
          <w:sz w:val="20"/>
          <w:szCs w:val="20"/>
        </w:rPr>
        <w:t>está</w:t>
      </w:r>
      <w:r w:rsidR="00173C31">
        <w:rPr>
          <w:rFonts w:asciiTheme="minorHAnsi" w:hAnsiTheme="minorHAnsi"/>
          <w:sz w:val="20"/>
          <w:szCs w:val="20"/>
        </w:rPr>
        <w:t xml:space="preserve"> bajo pedido y sujeto a cambio de precio.</w:t>
      </w:r>
    </w:p>
    <w:p w:rsidR="00904ADA" w:rsidRPr="00904ADA" w:rsidRDefault="00904ADA" w:rsidP="00904ADA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04ADA">
        <w:rPr>
          <w:rFonts w:asciiTheme="minorHAnsi" w:hAnsiTheme="minorHAnsi"/>
          <w:sz w:val="20"/>
          <w:szCs w:val="20"/>
        </w:rPr>
        <w:t xml:space="preserve">Para el día 4 en lugar de alojarse en Mostar, </w:t>
      </w:r>
      <w:r>
        <w:rPr>
          <w:rFonts w:asciiTheme="minorHAnsi" w:hAnsiTheme="minorHAnsi"/>
          <w:sz w:val="20"/>
          <w:szCs w:val="20"/>
        </w:rPr>
        <w:t>(</w:t>
      </w:r>
      <w:r w:rsidRPr="00904ADA">
        <w:rPr>
          <w:rFonts w:asciiTheme="minorHAnsi" w:hAnsiTheme="minorHAnsi"/>
          <w:sz w:val="20"/>
          <w:szCs w:val="20"/>
        </w:rPr>
        <w:t xml:space="preserve">en ciertas ocasiones la noche se pasará en </w:t>
      </w:r>
      <w:proofErr w:type="spellStart"/>
      <w:r w:rsidRPr="00904ADA">
        <w:rPr>
          <w:rFonts w:asciiTheme="minorHAnsi" w:hAnsiTheme="minorHAnsi"/>
          <w:sz w:val="20"/>
          <w:szCs w:val="20"/>
        </w:rPr>
        <w:t>Medjugorje</w:t>
      </w:r>
      <w:proofErr w:type="spellEnd"/>
      <w:r w:rsidRPr="00904ADA">
        <w:rPr>
          <w:rFonts w:asciiTheme="minorHAnsi" w:hAnsiTheme="minorHAnsi"/>
          <w:sz w:val="20"/>
          <w:szCs w:val="20"/>
        </w:rPr>
        <w:t xml:space="preserve"> y se hará primero la visita de Mostar)</w:t>
      </w:r>
    </w:p>
    <w:p w:rsidR="00904ADA" w:rsidRPr="00BF5362" w:rsidRDefault="00BF5362" w:rsidP="00BF536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sz w:val="20"/>
          <w:szCs w:val="20"/>
        </w:rPr>
      </w:pPr>
      <w:r w:rsidRPr="00BF5362">
        <w:rPr>
          <w:rFonts w:asciiTheme="minorHAnsi" w:hAnsiTheme="minorHAnsi"/>
          <w:sz w:val="20"/>
          <w:szCs w:val="20"/>
        </w:rPr>
        <w:t>En función del número de participantes este circuito será organizado como “</w:t>
      </w:r>
      <w:proofErr w:type="spellStart"/>
      <w:r w:rsidRPr="00BF5362">
        <w:rPr>
          <w:rFonts w:asciiTheme="minorHAnsi" w:hAnsiTheme="minorHAnsi"/>
          <w:sz w:val="20"/>
          <w:szCs w:val="20"/>
        </w:rPr>
        <w:t>Hosted</w:t>
      </w:r>
      <w:proofErr w:type="spellEnd"/>
      <w:r w:rsidRPr="00BF5362">
        <w:rPr>
          <w:rFonts w:asciiTheme="minorHAnsi" w:hAnsiTheme="minorHAnsi"/>
          <w:sz w:val="20"/>
          <w:szCs w:val="20"/>
        </w:rPr>
        <w:t xml:space="preserve"> Tour” en algunas partes (los traslados entre las ciudades se organizarán con chofer de habla local/inglesa sin guía acompañante).</w:t>
      </w:r>
    </w:p>
    <w:p w:rsidR="00BF5362" w:rsidRDefault="00BF5362" w:rsidP="00BF5362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Theme="minorHAnsi" w:hAnsiTheme="minorHAnsi"/>
          <w:sz w:val="20"/>
          <w:szCs w:val="20"/>
        </w:rPr>
      </w:pPr>
      <w:r w:rsidRPr="00296E02">
        <w:rPr>
          <w:rFonts w:asciiTheme="minorHAnsi" w:hAnsiTheme="minorHAnsi"/>
          <w:sz w:val="20"/>
          <w:szCs w:val="20"/>
        </w:rPr>
        <w:t xml:space="preserve">Precios sujetos a cambios sin previo aviso, no reembolsable. </w:t>
      </w:r>
    </w:p>
    <w:sectPr w:rsidR="00BF5362" w:rsidSect="00F25771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C0" w:rsidRDefault="00B67CC0" w:rsidP="00A771DB">
      <w:r>
        <w:separator/>
      </w:r>
    </w:p>
  </w:endnote>
  <w:endnote w:type="continuationSeparator" w:id="0">
    <w:p w:rsidR="00B67CC0" w:rsidRDefault="00B67CC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C0" w:rsidRDefault="00B67CC0" w:rsidP="00A771DB">
      <w:r>
        <w:separator/>
      </w:r>
    </w:p>
  </w:footnote>
  <w:footnote w:type="continuationSeparator" w:id="0">
    <w:p w:rsidR="00B67CC0" w:rsidRDefault="00B67CC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5782BA" wp14:editId="4B3EDF7A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BCC"/>
    <w:multiLevelType w:val="hybridMultilevel"/>
    <w:tmpl w:val="99A0F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0813"/>
    <w:rsid w:val="000650B2"/>
    <w:rsid w:val="000730E2"/>
    <w:rsid w:val="000730ED"/>
    <w:rsid w:val="00093ED0"/>
    <w:rsid w:val="000A20AB"/>
    <w:rsid w:val="000B46BE"/>
    <w:rsid w:val="000B7BB6"/>
    <w:rsid w:val="000C51EB"/>
    <w:rsid w:val="000D20FE"/>
    <w:rsid w:val="000D344F"/>
    <w:rsid w:val="000D35B4"/>
    <w:rsid w:val="000D4C8C"/>
    <w:rsid w:val="000D5629"/>
    <w:rsid w:val="000E1675"/>
    <w:rsid w:val="000E3CAD"/>
    <w:rsid w:val="000E5A55"/>
    <w:rsid w:val="001500C8"/>
    <w:rsid w:val="001533A9"/>
    <w:rsid w:val="001619AE"/>
    <w:rsid w:val="00161AAF"/>
    <w:rsid w:val="00167AE5"/>
    <w:rsid w:val="00173C31"/>
    <w:rsid w:val="00180C0C"/>
    <w:rsid w:val="00187C61"/>
    <w:rsid w:val="001A0297"/>
    <w:rsid w:val="001A1C04"/>
    <w:rsid w:val="001C73C0"/>
    <w:rsid w:val="001D1C56"/>
    <w:rsid w:val="001D1ED3"/>
    <w:rsid w:val="001F325C"/>
    <w:rsid w:val="001F5CC6"/>
    <w:rsid w:val="00214EF9"/>
    <w:rsid w:val="00247E59"/>
    <w:rsid w:val="00250666"/>
    <w:rsid w:val="002616F6"/>
    <w:rsid w:val="002655CA"/>
    <w:rsid w:val="00271C66"/>
    <w:rsid w:val="00272430"/>
    <w:rsid w:val="00280AD7"/>
    <w:rsid w:val="00296E02"/>
    <w:rsid w:val="002D46E9"/>
    <w:rsid w:val="002E0C7C"/>
    <w:rsid w:val="00305353"/>
    <w:rsid w:val="00305FD0"/>
    <w:rsid w:val="00312144"/>
    <w:rsid w:val="00330A65"/>
    <w:rsid w:val="0035095A"/>
    <w:rsid w:val="003645ED"/>
    <w:rsid w:val="00377872"/>
    <w:rsid w:val="00384662"/>
    <w:rsid w:val="003A316B"/>
    <w:rsid w:val="003B7DFF"/>
    <w:rsid w:val="003E037D"/>
    <w:rsid w:val="003E3EE8"/>
    <w:rsid w:val="00414607"/>
    <w:rsid w:val="004207E7"/>
    <w:rsid w:val="00420E42"/>
    <w:rsid w:val="00422CF8"/>
    <w:rsid w:val="004263BF"/>
    <w:rsid w:val="00433C2A"/>
    <w:rsid w:val="00440AB2"/>
    <w:rsid w:val="00453719"/>
    <w:rsid w:val="00461A62"/>
    <w:rsid w:val="00464A88"/>
    <w:rsid w:val="00465E57"/>
    <w:rsid w:val="004839F1"/>
    <w:rsid w:val="00490614"/>
    <w:rsid w:val="00493B17"/>
    <w:rsid w:val="004C128A"/>
    <w:rsid w:val="004D1F4F"/>
    <w:rsid w:val="004D2EF7"/>
    <w:rsid w:val="004F10B8"/>
    <w:rsid w:val="00507A71"/>
    <w:rsid w:val="00510FF9"/>
    <w:rsid w:val="005415AE"/>
    <w:rsid w:val="005434A5"/>
    <w:rsid w:val="0054631B"/>
    <w:rsid w:val="005475EA"/>
    <w:rsid w:val="00570255"/>
    <w:rsid w:val="0059731B"/>
    <w:rsid w:val="005B3922"/>
    <w:rsid w:val="005B6F06"/>
    <w:rsid w:val="005C4FB7"/>
    <w:rsid w:val="005D0F14"/>
    <w:rsid w:val="005D4B27"/>
    <w:rsid w:val="005E1E98"/>
    <w:rsid w:val="005F38DF"/>
    <w:rsid w:val="006367DD"/>
    <w:rsid w:val="0067069D"/>
    <w:rsid w:val="006748DC"/>
    <w:rsid w:val="006830AA"/>
    <w:rsid w:val="00685444"/>
    <w:rsid w:val="00687937"/>
    <w:rsid w:val="006B6C37"/>
    <w:rsid w:val="006C3803"/>
    <w:rsid w:val="006D4A8B"/>
    <w:rsid w:val="00704410"/>
    <w:rsid w:val="007056AC"/>
    <w:rsid w:val="007260E5"/>
    <w:rsid w:val="00772452"/>
    <w:rsid w:val="00774096"/>
    <w:rsid w:val="0077579E"/>
    <w:rsid w:val="007808C2"/>
    <w:rsid w:val="00783936"/>
    <w:rsid w:val="00784578"/>
    <w:rsid w:val="00785F89"/>
    <w:rsid w:val="007902AE"/>
    <w:rsid w:val="00794DEF"/>
    <w:rsid w:val="007C06FA"/>
    <w:rsid w:val="007C2A7A"/>
    <w:rsid w:val="007D3D7B"/>
    <w:rsid w:val="007E777D"/>
    <w:rsid w:val="00801B0E"/>
    <w:rsid w:val="00805D90"/>
    <w:rsid w:val="008077B5"/>
    <w:rsid w:val="00832BC1"/>
    <w:rsid w:val="008426E6"/>
    <w:rsid w:val="00854D86"/>
    <w:rsid w:val="00855D39"/>
    <w:rsid w:val="00861B86"/>
    <w:rsid w:val="00862E8B"/>
    <w:rsid w:val="0087041E"/>
    <w:rsid w:val="00874C2C"/>
    <w:rsid w:val="00884C94"/>
    <w:rsid w:val="0088633C"/>
    <w:rsid w:val="00886E2B"/>
    <w:rsid w:val="008900FA"/>
    <w:rsid w:val="008951B6"/>
    <w:rsid w:val="008965F5"/>
    <w:rsid w:val="008C2819"/>
    <w:rsid w:val="008C6F63"/>
    <w:rsid w:val="008E11BE"/>
    <w:rsid w:val="00904ADA"/>
    <w:rsid w:val="009264D5"/>
    <w:rsid w:val="0093338A"/>
    <w:rsid w:val="00961D86"/>
    <w:rsid w:val="00993F8F"/>
    <w:rsid w:val="00997095"/>
    <w:rsid w:val="009A6F41"/>
    <w:rsid w:val="009B161E"/>
    <w:rsid w:val="009D0F73"/>
    <w:rsid w:val="009E0257"/>
    <w:rsid w:val="009F35B4"/>
    <w:rsid w:val="00A01F5A"/>
    <w:rsid w:val="00A2522D"/>
    <w:rsid w:val="00A55A1F"/>
    <w:rsid w:val="00A75BE8"/>
    <w:rsid w:val="00A771DB"/>
    <w:rsid w:val="00A85F35"/>
    <w:rsid w:val="00A93B95"/>
    <w:rsid w:val="00AB473B"/>
    <w:rsid w:val="00AE5EAF"/>
    <w:rsid w:val="00AF62B4"/>
    <w:rsid w:val="00B00F5F"/>
    <w:rsid w:val="00B05D7A"/>
    <w:rsid w:val="00B15867"/>
    <w:rsid w:val="00B22E9A"/>
    <w:rsid w:val="00B26A3F"/>
    <w:rsid w:val="00B26DBA"/>
    <w:rsid w:val="00B44F53"/>
    <w:rsid w:val="00B455BC"/>
    <w:rsid w:val="00B67CC0"/>
    <w:rsid w:val="00B70E1C"/>
    <w:rsid w:val="00B76BAD"/>
    <w:rsid w:val="00BA3371"/>
    <w:rsid w:val="00BA5127"/>
    <w:rsid w:val="00BB1589"/>
    <w:rsid w:val="00BC660A"/>
    <w:rsid w:val="00BD20FD"/>
    <w:rsid w:val="00BD387D"/>
    <w:rsid w:val="00BE16E5"/>
    <w:rsid w:val="00BE3D2B"/>
    <w:rsid w:val="00BF2B32"/>
    <w:rsid w:val="00BF32F6"/>
    <w:rsid w:val="00BF5362"/>
    <w:rsid w:val="00C0023A"/>
    <w:rsid w:val="00C01E4D"/>
    <w:rsid w:val="00C11951"/>
    <w:rsid w:val="00C121EA"/>
    <w:rsid w:val="00C1705D"/>
    <w:rsid w:val="00C17F50"/>
    <w:rsid w:val="00C44049"/>
    <w:rsid w:val="00C52A2A"/>
    <w:rsid w:val="00CB3D51"/>
    <w:rsid w:val="00CB6535"/>
    <w:rsid w:val="00D00A3D"/>
    <w:rsid w:val="00D139D8"/>
    <w:rsid w:val="00D20843"/>
    <w:rsid w:val="00D24033"/>
    <w:rsid w:val="00D26A89"/>
    <w:rsid w:val="00D410D7"/>
    <w:rsid w:val="00D47C74"/>
    <w:rsid w:val="00D52C31"/>
    <w:rsid w:val="00D623CF"/>
    <w:rsid w:val="00D74AF1"/>
    <w:rsid w:val="00D87960"/>
    <w:rsid w:val="00D92DF9"/>
    <w:rsid w:val="00DD18E4"/>
    <w:rsid w:val="00DD35BB"/>
    <w:rsid w:val="00DF6295"/>
    <w:rsid w:val="00E01C6D"/>
    <w:rsid w:val="00E10655"/>
    <w:rsid w:val="00E115EF"/>
    <w:rsid w:val="00E32650"/>
    <w:rsid w:val="00E363B2"/>
    <w:rsid w:val="00E43C13"/>
    <w:rsid w:val="00E459B6"/>
    <w:rsid w:val="00E55709"/>
    <w:rsid w:val="00E57E1E"/>
    <w:rsid w:val="00E635F3"/>
    <w:rsid w:val="00E71360"/>
    <w:rsid w:val="00E74779"/>
    <w:rsid w:val="00E920E9"/>
    <w:rsid w:val="00EC3938"/>
    <w:rsid w:val="00EC78EF"/>
    <w:rsid w:val="00ED7EB7"/>
    <w:rsid w:val="00EE1769"/>
    <w:rsid w:val="00EE2818"/>
    <w:rsid w:val="00EE5A2C"/>
    <w:rsid w:val="00EF171C"/>
    <w:rsid w:val="00EF252F"/>
    <w:rsid w:val="00EF7143"/>
    <w:rsid w:val="00EF79C2"/>
    <w:rsid w:val="00F25771"/>
    <w:rsid w:val="00F471C3"/>
    <w:rsid w:val="00F476CC"/>
    <w:rsid w:val="00F82368"/>
    <w:rsid w:val="00F8697E"/>
    <w:rsid w:val="00F9211B"/>
    <w:rsid w:val="00F9318E"/>
    <w:rsid w:val="00FD53A5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A3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ED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  <w:style w:type="paragraph" w:styleId="Sinespaciado">
    <w:name w:val="No Spacing"/>
    <w:uiPriority w:val="1"/>
    <w:qFormat/>
    <w:rsid w:val="0070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2024-01-23T15:40:00Z</dcterms:created>
  <dcterms:modified xsi:type="dcterms:W3CDTF">2024-01-23T15:40:00Z</dcterms:modified>
</cp:coreProperties>
</file>