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4E4" w:rsidRDefault="00D973B6" w:rsidP="00D304E4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Fin de año en Turquía</w:t>
      </w:r>
    </w:p>
    <w:p w:rsidR="00D973B6" w:rsidRPr="00D973B6" w:rsidRDefault="00D973B6" w:rsidP="00D304E4">
      <w:pPr>
        <w:jc w:val="center"/>
        <w:rPr>
          <w:b/>
          <w:sz w:val="32"/>
          <w:szCs w:val="32"/>
          <w:lang w:val="es-ES"/>
        </w:rPr>
      </w:pPr>
      <w:r w:rsidRPr="00D973B6">
        <w:rPr>
          <w:b/>
          <w:sz w:val="32"/>
          <w:szCs w:val="32"/>
          <w:lang w:val="es-ES"/>
        </w:rPr>
        <w:t xml:space="preserve">Con cena de Navidad y Fin de año </w:t>
      </w:r>
    </w:p>
    <w:p w:rsidR="00D304E4" w:rsidRDefault="00881FF0" w:rsidP="00D304E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10</w:t>
      </w:r>
      <w:r w:rsidR="005B22A4">
        <w:rPr>
          <w:b/>
          <w:sz w:val="32"/>
          <w:szCs w:val="32"/>
          <w:lang w:val="es-ES"/>
        </w:rPr>
        <w:t xml:space="preserve"> días</w:t>
      </w:r>
      <w:r w:rsidR="00D304E4"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>9</w:t>
      </w:r>
      <w:r w:rsidR="005B22A4">
        <w:rPr>
          <w:b/>
          <w:sz w:val="32"/>
          <w:szCs w:val="32"/>
          <w:lang w:val="es-ES"/>
        </w:rPr>
        <w:t xml:space="preserve"> </w:t>
      </w:r>
      <w:r w:rsidR="00D304E4" w:rsidRPr="00883B24">
        <w:rPr>
          <w:b/>
          <w:sz w:val="32"/>
          <w:szCs w:val="32"/>
          <w:lang w:val="es-ES"/>
        </w:rPr>
        <w:t>noches</w:t>
      </w:r>
    </w:p>
    <w:p w:rsidR="00BF6497" w:rsidRPr="00EB4717" w:rsidRDefault="00741B36" w:rsidP="00BF6497">
      <w:pPr>
        <w:rPr>
          <w:sz w:val="20"/>
          <w:szCs w:val="20"/>
          <w:lang w:val="es-MX"/>
        </w:rPr>
      </w:pPr>
      <w:r w:rsidRPr="00A70329">
        <w:rPr>
          <w:sz w:val="20"/>
          <w:szCs w:val="20"/>
          <w:lang w:val="es-ES"/>
        </w:rPr>
        <w:t xml:space="preserve">Llegadas: </w:t>
      </w:r>
      <w:r w:rsidR="00CD7C2E">
        <w:rPr>
          <w:sz w:val="20"/>
          <w:szCs w:val="20"/>
          <w:lang w:val="es-ES"/>
        </w:rPr>
        <w:t>Específicas</w:t>
      </w:r>
    </w:p>
    <w:p w:rsidR="00BF6497" w:rsidRPr="00A70329" w:rsidRDefault="00BF6497" w:rsidP="00BF6497">
      <w:pPr>
        <w:rPr>
          <w:sz w:val="20"/>
          <w:szCs w:val="20"/>
          <w:lang w:val="es-ES"/>
        </w:rPr>
      </w:pPr>
    </w:p>
    <w:p w:rsidR="00BF6497" w:rsidRPr="00881FF0" w:rsidRDefault="00BF6497" w:rsidP="00BF6497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1.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>Estambul</w:t>
      </w:r>
    </w:p>
    <w:p w:rsidR="00BF6497" w:rsidRPr="00881FF0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sz w:val="20"/>
          <w:szCs w:val="20"/>
        </w:rPr>
        <w:t>Llegada y asistencia. Traslado al hotel.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 </w:t>
      </w:r>
      <w:r w:rsidR="002F027B" w:rsidRPr="002F027B">
        <w:rPr>
          <w:rFonts w:asciiTheme="minorHAnsi" w:eastAsiaTheme="minorEastAsia" w:hAnsiTheme="minorHAnsi" w:cstheme="minorHAnsi"/>
          <w:bCs/>
          <w:sz w:val="20"/>
          <w:szCs w:val="20"/>
        </w:rPr>
        <w:t xml:space="preserve">Por la noche se ofrece </w:t>
      </w:r>
      <w:r w:rsidR="002F027B" w:rsidRPr="002F027B">
        <w:rPr>
          <w:rFonts w:asciiTheme="minorHAnsi" w:eastAsiaTheme="minorEastAsia" w:hAnsiTheme="minorHAnsi" w:cstheme="minorHAnsi"/>
          <w:b/>
          <w:sz w:val="20"/>
          <w:szCs w:val="20"/>
        </w:rPr>
        <w:t>una cena especial</w:t>
      </w:r>
      <w:r w:rsidR="002F027B" w:rsidRPr="002F027B">
        <w:rPr>
          <w:rFonts w:asciiTheme="minorHAnsi" w:eastAsiaTheme="minorEastAsia" w:hAnsiTheme="minorHAnsi" w:cstheme="minorHAnsi"/>
          <w:bCs/>
          <w:sz w:val="20"/>
          <w:szCs w:val="20"/>
        </w:rPr>
        <w:t xml:space="preserve"> </w:t>
      </w:r>
      <w:r w:rsidR="002F027B" w:rsidRPr="002F027B">
        <w:rPr>
          <w:rFonts w:asciiTheme="minorHAnsi" w:eastAsiaTheme="minorEastAsia" w:hAnsiTheme="minorHAnsi" w:cstheme="minorHAnsi"/>
          <w:b/>
          <w:sz w:val="20"/>
          <w:szCs w:val="20"/>
        </w:rPr>
        <w:t>para la celebración de Navidad (</w:t>
      </w:r>
      <w:r w:rsidR="002F027B">
        <w:rPr>
          <w:rFonts w:asciiTheme="minorHAnsi" w:eastAsiaTheme="minorEastAsia" w:hAnsiTheme="minorHAnsi" w:cstheme="minorHAnsi"/>
          <w:b/>
          <w:sz w:val="20"/>
          <w:szCs w:val="20"/>
        </w:rPr>
        <w:t>La</w:t>
      </w:r>
      <w:r w:rsidR="002F027B" w:rsidRPr="002F027B">
        <w:rPr>
          <w:rFonts w:asciiTheme="minorHAnsi" w:eastAsiaTheme="minorEastAsia" w:hAnsiTheme="minorHAnsi" w:cstheme="minorHAnsi"/>
          <w:b/>
          <w:sz w:val="20"/>
          <w:szCs w:val="20"/>
        </w:rPr>
        <w:t xml:space="preserve"> cena de Navidad  2000pm-2330pm)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Alojamiento.</w:t>
      </w:r>
    </w:p>
    <w:p w:rsidR="00BF6497" w:rsidRPr="00881FF0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BF6497" w:rsidRPr="00881FF0" w:rsidRDefault="00BF6497" w:rsidP="00BF6497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2.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>Estambul</w:t>
      </w:r>
    </w:p>
    <w:p w:rsidR="00BF6497" w:rsidRPr="00881FF0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Día libre.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Alojamiento.</w:t>
      </w:r>
    </w:p>
    <w:p w:rsidR="00BF6497" w:rsidRPr="00881FF0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i/>
          <w:sz w:val="18"/>
          <w:szCs w:val="18"/>
        </w:rPr>
      </w:pP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Opcional Bósforo Y Barrio </w:t>
      </w:r>
      <w:proofErr w:type="spellStart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Sultanahmet</w:t>
      </w:r>
      <w:proofErr w:type="spellEnd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 (Día completo con almuerzo)</w:t>
      </w:r>
      <w:r>
        <w:rPr>
          <w:rFonts w:asciiTheme="minorHAnsi" w:eastAsiaTheme="minorEastAsia" w:hAnsiTheme="minorHAnsi" w:cstheme="minorHAnsi"/>
          <w:i/>
          <w:sz w:val="18"/>
          <w:szCs w:val="18"/>
        </w:rPr>
        <w:t>. V</w:t>
      </w: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isita al Bazar Egipcio (mercado de las especias) y a continuación recorrido en barco por el Bósforo, el estrecho que separa Europa de Asia donde podremos disfrutar de la gran belleza de los bosques de Estambul, de sus palacios y de los </w:t>
      </w:r>
      <w:proofErr w:type="spellStart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yalı</w:t>
      </w:r>
      <w:proofErr w:type="spellEnd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, palacetes de madera construidos en ambas orillas. Por la tarde visita al barrio </w:t>
      </w:r>
      <w:proofErr w:type="spellStart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Sultanahmet</w:t>
      </w:r>
      <w:proofErr w:type="spellEnd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 con la plaza del Hipódromo Romano, la Mezquita Azul, única entre todas las mezquitas otomanas a tener 6 minaretes y la espléndida basílica de Santa Sofía del siglo VI. Regreso al hotel. </w:t>
      </w:r>
    </w:p>
    <w:p w:rsidR="00BF6497" w:rsidRPr="00881FF0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          </w:t>
      </w:r>
    </w:p>
    <w:p w:rsidR="00BF6497" w:rsidRPr="00881FF0" w:rsidRDefault="00BF6497" w:rsidP="00BF6497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3.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 xml:space="preserve">Estambul – Ankara  </w:t>
      </w:r>
    </w:p>
    <w:p w:rsidR="00BF6497" w:rsidRPr="00881FF0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>Mañana libre. En la tarde salida en autocar para Ankara, pasando por el puente intercontinental de Estambul. Llegada a la capital del país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. Cena y alojamiento.  </w:t>
      </w:r>
    </w:p>
    <w:p w:rsidR="00BF6497" w:rsidRPr="00881FF0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i/>
          <w:sz w:val="18"/>
          <w:szCs w:val="18"/>
        </w:rPr>
      </w:pP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Opcional Palacio </w:t>
      </w:r>
      <w:proofErr w:type="spellStart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Topkapi</w:t>
      </w:r>
      <w:proofErr w:type="spellEnd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 Y Gran Bazar (Medio día sin almuerzo) Visita del Palacio de </w:t>
      </w:r>
      <w:proofErr w:type="spellStart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Topkapı</w:t>
      </w:r>
      <w:proofErr w:type="spellEnd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, residencia de los sultanes del imperio otomano, famoso por su excelente colección de joyas y porcelanas. (Sala del harén con suplemento). Continuación para tiempo libre en el Gran Bazar (cerrado los domingos y fiestas religiosas), edificio que alberga más de 4000 tiendas en su interior.</w:t>
      </w:r>
    </w:p>
    <w:p w:rsidR="00BF6497" w:rsidRPr="00881FF0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BF6497" w:rsidRPr="00881FF0" w:rsidRDefault="00BF6497" w:rsidP="00BF6497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4.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>Ankara – Capadocia</w:t>
      </w:r>
    </w:p>
    <w:p w:rsidR="00BF6497" w:rsidRPr="00881FF0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Visita a la capital de Turquía con el </w:t>
      </w:r>
      <w:r w:rsidR="002F027B" w:rsidRPr="002F027B">
        <w:rPr>
          <w:rFonts w:asciiTheme="minorHAnsi" w:eastAsiaTheme="minorEastAsia" w:hAnsiTheme="minorHAnsi" w:cstheme="minorHAnsi"/>
          <w:sz w:val="20"/>
          <w:szCs w:val="20"/>
        </w:rPr>
        <w:t>Museo de las Civilizaciones de Anatolia con exposición de restos paleolíticos, neolíticos,</w:t>
      </w:r>
      <w:r w:rsidR="002F027B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2F027B" w:rsidRPr="002F027B">
        <w:rPr>
          <w:rFonts w:asciiTheme="minorHAnsi" w:eastAsiaTheme="minorEastAsia" w:hAnsiTheme="minorHAnsi" w:cstheme="minorHAnsi"/>
          <w:sz w:val="20"/>
          <w:szCs w:val="20"/>
        </w:rPr>
        <w:t>hitita, frigia Urartu etc.</w:t>
      </w:r>
      <w:r w:rsidR="002F027B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2F027B" w:rsidRPr="002F027B">
        <w:rPr>
          <w:rFonts w:asciiTheme="minorHAnsi" w:eastAsiaTheme="minorEastAsia" w:hAnsiTheme="minorHAnsi" w:cstheme="minorHAnsi"/>
          <w:sz w:val="20"/>
          <w:szCs w:val="20"/>
        </w:rPr>
        <w:t xml:space="preserve">y el Mausoleo de </w:t>
      </w:r>
      <w:proofErr w:type="spellStart"/>
      <w:r w:rsidR="002F027B" w:rsidRPr="002F027B">
        <w:rPr>
          <w:rFonts w:asciiTheme="minorHAnsi" w:eastAsiaTheme="minorEastAsia" w:hAnsiTheme="minorHAnsi" w:cstheme="minorHAnsi"/>
          <w:sz w:val="20"/>
          <w:szCs w:val="20"/>
        </w:rPr>
        <w:t>Ataturk</w:t>
      </w:r>
      <w:proofErr w:type="spellEnd"/>
      <w:r w:rsidR="002F027B" w:rsidRPr="002F027B">
        <w:rPr>
          <w:rFonts w:asciiTheme="minorHAnsi" w:eastAsiaTheme="minorEastAsia" w:hAnsiTheme="minorHAnsi" w:cstheme="minorHAnsi"/>
          <w:sz w:val="20"/>
          <w:szCs w:val="20"/>
        </w:rPr>
        <w:t xml:space="preserve">, dedicado al fundador de la República Turca. Salida para Capadocia. En el camino, visita a la ciudad subterránea de </w:t>
      </w:r>
      <w:proofErr w:type="spellStart"/>
      <w:r w:rsidR="002F027B" w:rsidRPr="002F027B">
        <w:rPr>
          <w:rFonts w:asciiTheme="minorHAnsi" w:eastAsiaTheme="minorEastAsia" w:hAnsiTheme="minorHAnsi" w:cstheme="minorHAnsi"/>
          <w:sz w:val="20"/>
          <w:szCs w:val="20"/>
        </w:rPr>
        <w:t>Saratli</w:t>
      </w:r>
      <w:proofErr w:type="spellEnd"/>
      <w:r w:rsidR="002F027B" w:rsidRPr="002F027B">
        <w:rPr>
          <w:rFonts w:asciiTheme="minorHAnsi" w:eastAsiaTheme="minorEastAsia" w:hAnsiTheme="minorHAnsi" w:cstheme="minorHAnsi"/>
          <w:sz w:val="20"/>
          <w:szCs w:val="20"/>
        </w:rPr>
        <w:t xml:space="preserve"> construidas por las comunidades cristianas para protegerse de los ataques árabes. La ciudad subterránea conserva los establos, salas comunes, sala de reuniones y pequeñas habitaciones para las familias Llegada al hotel de Capadocia</w:t>
      </w:r>
      <w:r w:rsidR="002F027B">
        <w:rPr>
          <w:rFonts w:asciiTheme="minorHAnsi" w:eastAsiaTheme="minorEastAsia" w:hAnsiTheme="minorHAnsi" w:cstheme="minorHAnsi"/>
          <w:sz w:val="20"/>
          <w:szCs w:val="20"/>
        </w:rPr>
        <w:t>.</w:t>
      </w:r>
      <w:r w:rsidR="002F027B" w:rsidRPr="002F027B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Cena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y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alojamiento.</w:t>
      </w:r>
    </w:p>
    <w:p w:rsidR="00BF6497" w:rsidRPr="00881FF0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BF6497" w:rsidRPr="00881FF0" w:rsidRDefault="00BF6497" w:rsidP="00BF6497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5.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>Capadocia</w:t>
      </w:r>
    </w:p>
    <w:p w:rsidR="00BF6497" w:rsidRPr="00881FF0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Desayuno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. </w:t>
      </w:r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Día dedicado a la visita de esta fantástica región, única en el mundo Valle de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Goreme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, con sus iglesias rupestres, con pinturas de los siglos X y XI; visita al pueblo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trogloyta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  de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Uçhisar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, valle de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Paþabag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, con sus chimeneas de hadas más espectaculares da Capadocia, valle de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Derbent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 con sus formaciones naturales curiosas y tiempo para talleres artesanales como alfombras y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onyx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-piedras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semi-preciosas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>.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Cena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y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alojamiento. </w:t>
      </w:r>
    </w:p>
    <w:p w:rsidR="00BF6497" w:rsidRPr="00881FF0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Opcional Vuelo en Globo:  Al amanecer, posibilidad de participar a una excursión en globo aerostático, una experiencia única, sobre las formaciones rocosas, chimeneas de hadas, formaciones naturales, paisajes lunares.</w:t>
      </w:r>
      <w:r w:rsidRPr="00881FF0">
        <w:rPr>
          <w:rFonts w:asciiTheme="minorHAnsi" w:eastAsiaTheme="minorEastAsia" w:hAnsiTheme="minorHAnsi" w:cstheme="minorHAnsi"/>
          <w:sz w:val="18"/>
          <w:szCs w:val="18"/>
        </w:rPr>
        <w:t xml:space="preserve"> </w:t>
      </w:r>
    </w:p>
    <w:p w:rsidR="00BF6497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i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Opcional Espectáculo folclórico y danza de vientre:  Después de la cena en el hotel, salida para un espectáculo con barra libre de bebidas alcohólicas locales. Bailes en atuendos característicos y músicas folclóricas de todas las regiones de Turquía y la interpretación la más fina de la danza de vientre en una sala rupestre</w:t>
      </w:r>
      <w:r w:rsidRPr="00881FF0">
        <w:rPr>
          <w:rFonts w:asciiTheme="minorHAnsi" w:eastAsiaTheme="minorEastAsia" w:hAnsiTheme="minorHAnsi" w:cstheme="minorHAnsi"/>
          <w:i/>
          <w:sz w:val="20"/>
          <w:szCs w:val="20"/>
        </w:rPr>
        <w:t>.</w:t>
      </w:r>
    </w:p>
    <w:p w:rsidR="00BF6497" w:rsidRDefault="00BF6497" w:rsidP="00BF6497">
      <w:pPr>
        <w:jc w:val="both"/>
        <w:rPr>
          <w:rFonts w:cstheme="minorHAnsi"/>
          <w:b/>
          <w:sz w:val="20"/>
          <w:szCs w:val="20"/>
        </w:rPr>
      </w:pPr>
    </w:p>
    <w:p w:rsidR="00BF6497" w:rsidRPr="00881FF0" w:rsidRDefault="00BF6497" w:rsidP="00BF6497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6.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 xml:space="preserve">Capadocia – </w:t>
      </w:r>
      <w:proofErr w:type="spellStart"/>
      <w:r w:rsidRPr="00881FF0">
        <w:rPr>
          <w:rFonts w:eastAsiaTheme="minorEastAsia" w:cstheme="minorHAnsi"/>
          <w:b/>
          <w:sz w:val="20"/>
          <w:szCs w:val="20"/>
        </w:rPr>
        <w:t>Pamukkale</w:t>
      </w:r>
      <w:proofErr w:type="spellEnd"/>
      <w:r w:rsidRPr="00881FF0">
        <w:rPr>
          <w:rFonts w:eastAsiaTheme="minorEastAsia" w:cstheme="minorHAnsi"/>
          <w:b/>
          <w:sz w:val="20"/>
          <w:szCs w:val="20"/>
        </w:rPr>
        <w:t xml:space="preserve">    </w:t>
      </w:r>
    </w:p>
    <w:p w:rsidR="00BF6497" w:rsidRPr="00881FF0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En el transcurso haremos una parada, para visitar el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Caravanserail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 de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Sultanhan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 posada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Seylucida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 de la era medieval.  Llegada a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Pamukkale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 y tiempo libre en el “Castillo de </w:t>
      </w:r>
      <w:r w:rsidR="002F027B" w:rsidRPr="00D6648B">
        <w:rPr>
          <w:rFonts w:asciiTheme="minorHAnsi" w:eastAsiaTheme="minorEastAsia" w:hAnsiTheme="minorHAnsi" w:cstheme="minorHAnsi"/>
          <w:sz w:val="20"/>
          <w:szCs w:val="20"/>
        </w:rPr>
        <w:t>Algodón</w:t>
      </w:r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”, único en el mundo con las piscinas termales de origen </w:t>
      </w:r>
      <w:r w:rsidR="002F027B" w:rsidRPr="00D6648B">
        <w:rPr>
          <w:rFonts w:asciiTheme="minorHAnsi" w:eastAsiaTheme="minorEastAsia" w:hAnsiTheme="minorHAnsi" w:cstheme="minorHAnsi"/>
          <w:sz w:val="20"/>
          <w:szCs w:val="20"/>
        </w:rPr>
        <w:t>calcárea</w:t>
      </w:r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 y las cascadas petrificadas. Al termino traslado al hotel.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Cena y alojamiento.</w:t>
      </w:r>
    </w:p>
    <w:p w:rsidR="00BF6497" w:rsidRPr="00881FF0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BF6497" w:rsidRPr="00881FF0" w:rsidRDefault="00BF6497" w:rsidP="00BF6497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7.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881FF0">
        <w:rPr>
          <w:rFonts w:eastAsiaTheme="minorEastAsia" w:cstheme="minorHAnsi"/>
          <w:b/>
          <w:sz w:val="20"/>
          <w:szCs w:val="20"/>
        </w:rPr>
        <w:t>Pamukkale</w:t>
      </w:r>
      <w:proofErr w:type="spellEnd"/>
      <w:r w:rsidRPr="00881FF0">
        <w:rPr>
          <w:rFonts w:eastAsiaTheme="minorEastAsia" w:cstheme="minorHAnsi"/>
          <w:b/>
          <w:sz w:val="20"/>
          <w:szCs w:val="20"/>
        </w:rPr>
        <w:t xml:space="preserve"> – </w:t>
      </w:r>
      <w:proofErr w:type="spellStart"/>
      <w:r w:rsidRPr="00881FF0">
        <w:rPr>
          <w:rFonts w:eastAsiaTheme="minorEastAsia" w:cstheme="minorHAnsi"/>
          <w:b/>
          <w:sz w:val="20"/>
          <w:szCs w:val="20"/>
        </w:rPr>
        <w:t>Efeso</w:t>
      </w:r>
      <w:proofErr w:type="spellEnd"/>
      <w:r w:rsidRPr="00881FF0">
        <w:rPr>
          <w:rFonts w:eastAsiaTheme="minorEastAsia" w:cstheme="minorHAnsi"/>
          <w:b/>
          <w:sz w:val="20"/>
          <w:szCs w:val="20"/>
        </w:rPr>
        <w:t xml:space="preserve"> –</w:t>
      </w:r>
      <w:r>
        <w:rPr>
          <w:rFonts w:eastAsiaTheme="minorEastAsia" w:cstheme="minorHAnsi"/>
          <w:b/>
          <w:sz w:val="20"/>
          <w:szCs w:val="20"/>
        </w:rPr>
        <w:t xml:space="preserve"> </w:t>
      </w:r>
      <w:proofErr w:type="spellStart"/>
      <w:r w:rsidR="002F027B">
        <w:rPr>
          <w:rFonts w:eastAsiaTheme="minorEastAsia" w:cstheme="minorHAnsi"/>
          <w:b/>
          <w:sz w:val="20"/>
          <w:szCs w:val="20"/>
        </w:rPr>
        <w:t>Kusadasi</w:t>
      </w:r>
      <w:proofErr w:type="spellEnd"/>
    </w:p>
    <w:p w:rsidR="002F027B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Desayuno</w:t>
      </w:r>
      <w:r>
        <w:rPr>
          <w:rFonts w:asciiTheme="minorHAnsi" w:eastAsiaTheme="minorEastAsia" w:hAnsiTheme="minorHAnsi" w:cstheme="minorHAnsi"/>
          <w:b/>
          <w:sz w:val="20"/>
          <w:szCs w:val="20"/>
        </w:rPr>
        <w:t xml:space="preserve">. </w:t>
      </w:r>
      <w:r w:rsidRPr="00D6648B">
        <w:rPr>
          <w:rFonts w:asciiTheme="minorHAnsi" w:eastAsiaTheme="minorEastAsia" w:hAnsiTheme="minorHAnsi" w:cstheme="minorHAnsi"/>
          <w:bCs/>
          <w:sz w:val="20"/>
          <w:szCs w:val="20"/>
        </w:rPr>
        <w:t xml:space="preserve">Salida hacia </w:t>
      </w:r>
      <w:proofErr w:type="spellStart"/>
      <w:r w:rsidRPr="00D6648B">
        <w:rPr>
          <w:rFonts w:asciiTheme="minorHAnsi" w:eastAsiaTheme="minorEastAsia" w:hAnsiTheme="minorHAnsi" w:cstheme="minorHAnsi"/>
          <w:bCs/>
          <w:sz w:val="20"/>
          <w:szCs w:val="20"/>
        </w:rPr>
        <w:t>Selçuk-Efeso</w:t>
      </w:r>
      <w:proofErr w:type="spellEnd"/>
      <w:r w:rsidRPr="00D6648B">
        <w:rPr>
          <w:rFonts w:asciiTheme="minorHAnsi" w:eastAsiaTheme="minorEastAsia" w:hAnsiTheme="minorHAnsi" w:cstheme="minorHAnsi"/>
          <w:bCs/>
          <w:sz w:val="20"/>
          <w:szCs w:val="20"/>
        </w:rPr>
        <w:t xml:space="preserve">. Llegada y visita a las ruinas de </w:t>
      </w:r>
      <w:proofErr w:type="spellStart"/>
      <w:r w:rsidRPr="00D6648B">
        <w:rPr>
          <w:rFonts w:asciiTheme="minorHAnsi" w:eastAsiaTheme="minorEastAsia" w:hAnsiTheme="minorHAnsi" w:cstheme="minorHAnsi"/>
          <w:bCs/>
          <w:sz w:val="20"/>
          <w:szCs w:val="20"/>
        </w:rPr>
        <w:t>Efeso</w:t>
      </w:r>
      <w:proofErr w:type="spellEnd"/>
      <w:r w:rsidRPr="00D6648B">
        <w:rPr>
          <w:rFonts w:asciiTheme="minorHAnsi" w:eastAsiaTheme="minorEastAsia" w:hAnsiTheme="minorHAnsi" w:cstheme="minorHAnsi"/>
          <w:bCs/>
          <w:sz w:val="20"/>
          <w:szCs w:val="20"/>
        </w:rPr>
        <w:t xml:space="preserve">, ciudad dedicada a Artemis I el Odeón, el Templo de Adriano, la Casa de Amor, la Biblioteca de Celso, el Ágora, la calle de Mármol y el Teatro. Visita a la casa de la Virgen, supuesta última morada de la Madre de Jesús. Parada en un centro de producción de cuero y continuación hacia </w:t>
      </w:r>
      <w:r>
        <w:rPr>
          <w:rFonts w:asciiTheme="minorHAnsi" w:eastAsiaTheme="minorEastAsia" w:hAnsiTheme="minorHAnsi" w:cstheme="minorHAnsi"/>
          <w:bCs/>
          <w:sz w:val="20"/>
          <w:szCs w:val="20"/>
        </w:rPr>
        <w:t>I</w:t>
      </w:r>
      <w:r w:rsidRPr="00D6648B">
        <w:rPr>
          <w:rFonts w:asciiTheme="minorHAnsi" w:eastAsiaTheme="minorEastAsia" w:hAnsiTheme="minorHAnsi" w:cstheme="minorHAnsi"/>
          <w:bCs/>
          <w:sz w:val="20"/>
          <w:szCs w:val="20"/>
        </w:rPr>
        <w:t>zmir-Esmirna, la tercera ciudad más grande de Turquía</w:t>
      </w:r>
      <w:r w:rsidRPr="00881FF0">
        <w:rPr>
          <w:rFonts w:asciiTheme="minorHAnsi" w:eastAsiaTheme="minorEastAsia" w:hAnsiTheme="minorHAnsi" w:cstheme="minorHAnsi"/>
          <w:bCs/>
          <w:sz w:val="20"/>
          <w:szCs w:val="20"/>
        </w:rPr>
        <w:t>.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Cena y alojamiento.</w:t>
      </w:r>
    </w:p>
    <w:p w:rsidR="002F027B" w:rsidRPr="002F027B" w:rsidRDefault="002F027B" w:rsidP="002F027B">
      <w:pPr>
        <w:pStyle w:val="Textosinformato"/>
        <w:jc w:val="both"/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</w:pPr>
      <w:r w:rsidRPr="002F027B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 xml:space="preserve">Excursión Opcional: GLOBO Al amanecer, volará lentamente sobre piscinas de blanco travertino de </w:t>
      </w:r>
      <w:proofErr w:type="spellStart"/>
      <w:r w:rsidRPr="002F027B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>Pamukkale</w:t>
      </w:r>
      <w:proofErr w:type="spellEnd"/>
      <w:r w:rsidRPr="002F027B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 xml:space="preserve"> y las antiguas ruinas de la ciudad de Hierápolis. Tras aterrizar, disfrute de una copa de Champagne, al termino regreso al hotel.</w:t>
      </w:r>
    </w:p>
    <w:p w:rsidR="00BF6497" w:rsidRPr="00881FF0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BF6497" w:rsidRPr="00881FF0" w:rsidRDefault="00BF6497" w:rsidP="00BF6497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8.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="002F027B">
        <w:rPr>
          <w:rFonts w:eastAsiaTheme="minorEastAsia" w:cstheme="minorHAnsi"/>
          <w:b/>
          <w:sz w:val="20"/>
          <w:szCs w:val="20"/>
        </w:rPr>
        <w:t>Kusadasi</w:t>
      </w:r>
      <w:proofErr w:type="spellEnd"/>
      <w:r w:rsidRPr="00881FF0">
        <w:rPr>
          <w:rFonts w:eastAsiaTheme="minorEastAsia" w:cstheme="minorHAnsi"/>
          <w:b/>
          <w:sz w:val="20"/>
          <w:szCs w:val="20"/>
        </w:rPr>
        <w:t xml:space="preserve"> – </w:t>
      </w:r>
      <w:proofErr w:type="spellStart"/>
      <w:r w:rsidRPr="00881FF0">
        <w:rPr>
          <w:rFonts w:eastAsiaTheme="minorEastAsia" w:cstheme="minorHAnsi"/>
          <w:b/>
          <w:sz w:val="20"/>
          <w:szCs w:val="20"/>
        </w:rPr>
        <w:t>Pergamo</w:t>
      </w:r>
      <w:proofErr w:type="spellEnd"/>
      <w:r w:rsidRPr="00881FF0">
        <w:rPr>
          <w:rFonts w:eastAsiaTheme="minorEastAsia" w:cstheme="minorHAnsi"/>
          <w:b/>
          <w:sz w:val="20"/>
          <w:szCs w:val="20"/>
        </w:rPr>
        <w:t xml:space="preserve"> – Troya – Çanakkale </w:t>
      </w:r>
    </w:p>
    <w:p w:rsidR="00BF6497" w:rsidRPr="00881FF0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 w:rsidRPr="00D6648B">
        <w:rPr>
          <w:rFonts w:asciiTheme="minorHAnsi" w:eastAsiaTheme="minorEastAsia" w:hAnsiTheme="minorHAnsi" w:cstheme="minorHAnsi"/>
          <w:bCs/>
          <w:sz w:val="20"/>
          <w:szCs w:val="20"/>
        </w:rPr>
        <w:t>S</w:t>
      </w:r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alida hacia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Pergamo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, la actual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Bergama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. Llegada y visita a las ruinas con el Asclepios que fue el primero hospital de Asia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Minor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, con su centro terapéutico. Continuación hacia Troya. Visita a la famosa ciudad de la historia que evoca el nombre poético de la </w:t>
      </w:r>
      <w:proofErr w:type="spellStart"/>
      <w:r>
        <w:rPr>
          <w:rFonts w:asciiTheme="minorHAnsi" w:eastAsiaTheme="minorEastAsia" w:hAnsiTheme="minorHAnsi" w:cstheme="minorHAnsi"/>
          <w:sz w:val="20"/>
          <w:szCs w:val="20"/>
        </w:rPr>
        <w:t>I</w:t>
      </w:r>
      <w:r w:rsidRPr="00D6648B">
        <w:rPr>
          <w:rFonts w:asciiTheme="minorHAnsi" w:eastAsiaTheme="minorEastAsia" w:hAnsiTheme="minorHAnsi" w:cstheme="minorHAnsi"/>
          <w:sz w:val="20"/>
          <w:szCs w:val="20"/>
        </w:rPr>
        <w:t>liada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 de Homero. Continuación para Çanakkale</w:t>
      </w:r>
      <w:r w:rsidR="002F027B">
        <w:rPr>
          <w:rFonts w:asciiTheme="minorHAnsi" w:eastAsiaTheme="minorEastAsia" w:hAnsiTheme="minorHAnsi" w:cstheme="minorHAnsi"/>
          <w:sz w:val="20"/>
          <w:szCs w:val="20"/>
        </w:rPr>
        <w:t>.</w:t>
      </w:r>
      <w:r w:rsidR="002F027B">
        <w:rPr>
          <w:rFonts w:asciiTheme="minorHAnsi" w:eastAsiaTheme="minorEastAsia" w:hAnsiTheme="minorHAnsi" w:cstheme="minorHAnsi"/>
          <w:b/>
          <w:sz w:val="20"/>
          <w:szCs w:val="20"/>
        </w:rPr>
        <w:t xml:space="preserve"> </w:t>
      </w:r>
      <w:r w:rsidR="002F027B" w:rsidRPr="002F027B">
        <w:rPr>
          <w:rFonts w:asciiTheme="minorHAnsi" w:eastAsiaTheme="minorEastAsia" w:hAnsiTheme="minorHAnsi" w:cstheme="minorHAnsi"/>
          <w:b/>
          <w:sz w:val="20"/>
          <w:szCs w:val="20"/>
        </w:rPr>
        <w:t>Celebración  cena incluida para ano nuevo  para recibir el  2023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 y alojamiento.</w:t>
      </w:r>
    </w:p>
    <w:p w:rsidR="00BF6497" w:rsidRPr="00881FF0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BF6497" w:rsidRPr="00881FF0" w:rsidRDefault="00BF6497" w:rsidP="00BF6497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9.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 xml:space="preserve">Çanakkale – Bursa – Estambul </w:t>
      </w:r>
    </w:p>
    <w:p w:rsidR="00BF6497" w:rsidRPr="00881FF0" w:rsidRDefault="00BF6497" w:rsidP="00BF6497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Salida hacia Bursa que fue la primera capital del </w:t>
      </w:r>
      <w:r>
        <w:rPr>
          <w:rFonts w:asciiTheme="minorHAnsi" w:eastAsiaTheme="minorEastAsia" w:hAnsiTheme="minorHAnsi" w:cstheme="minorHAnsi"/>
          <w:sz w:val="20"/>
          <w:szCs w:val="20"/>
        </w:rPr>
        <w:t>i</w:t>
      </w:r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mperio Otomano entre 1326 y 1364. Visita de la Mezquita Grande de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Ulucamii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, el Bazar da Seda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Kozahan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 y el Mausoleo Verde. Continuación para Estambul.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Alojamiento.</w:t>
      </w:r>
    </w:p>
    <w:p w:rsidR="00881FF0" w:rsidRPr="00881FF0" w:rsidRDefault="00881FF0" w:rsidP="00881FF0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881FF0" w:rsidRPr="00881FF0" w:rsidRDefault="00881FF0" w:rsidP="00881FF0">
      <w:pPr>
        <w:jc w:val="both"/>
        <w:rPr>
          <w:rFonts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10.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 xml:space="preserve">Estambul – </w:t>
      </w:r>
      <w:r w:rsidRPr="00881FF0">
        <w:rPr>
          <w:rFonts w:cstheme="minorHAnsi"/>
          <w:b/>
          <w:sz w:val="20"/>
          <w:szCs w:val="20"/>
        </w:rPr>
        <w:t xml:space="preserve">México </w:t>
      </w:r>
    </w:p>
    <w:p w:rsidR="00881FF0" w:rsidRPr="00881FF0" w:rsidRDefault="00881FF0" w:rsidP="00881FF0">
      <w:pPr>
        <w:pStyle w:val="Textosinformato"/>
        <w:jc w:val="both"/>
        <w:rPr>
          <w:rFonts w:asciiTheme="minorHAnsi" w:hAnsiTheme="minorHAnsi" w:cstheme="minorHAnsi"/>
          <w:sz w:val="20"/>
          <w:szCs w:val="20"/>
        </w:rPr>
      </w:pPr>
      <w:r w:rsidRPr="00881FF0">
        <w:rPr>
          <w:rFonts w:asciiTheme="minorHAnsi" w:hAnsiTheme="minorHAnsi" w:cstheme="minorHAnsi"/>
          <w:b/>
          <w:sz w:val="20"/>
          <w:szCs w:val="20"/>
        </w:rPr>
        <w:t xml:space="preserve">Desayuno. </w:t>
      </w:r>
      <w:r w:rsidRPr="00881FF0">
        <w:rPr>
          <w:rFonts w:asciiTheme="minorHAnsi" w:hAnsiTheme="minorHAnsi" w:cstheme="minorHAnsi"/>
          <w:sz w:val="20"/>
          <w:szCs w:val="20"/>
        </w:rPr>
        <w:t>A la hora indicada traslado al aeropuerto para tomar el vuelo a México.</w:t>
      </w:r>
    </w:p>
    <w:p w:rsidR="00F93D89" w:rsidRPr="00F93D89" w:rsidRDefault="00F93D89" w:rsidP="00F93D89">
      <w:pPr>
        <w:rPr>
          <w:rFonts w:eastAsia="Times" w:cstheme="minorHAnsi"/>
          <w:b/>
          <w:sz w:val="20"/>
          <w:szCs w:val="20"/>
          <w:lang w:eastAsia="es-ES"/>
        </w:rPr>
      </w:pPr>
    </w:p>
    <w:p w:rsidR="00D304E4" w:rsidRDefault="005B22A4" w:rsidP="00B26C3A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val="es-ES"/>
        </w:rPr>
      </w:pPr>
      <w:r w:rsidRPr="00B26C3A">
        <w:rPr>
          <w:rFonts w:cstheme="minorHAnsi"/>
          <w:b/>
          <w:bCs/>
          <w:sz w:val="20"/>
          <w:szCs w:val="20"/>
          <w:lang w:val="es-ES"/>
        </w:rPr>
        <w:t>FIN DE NUESTROS SERVICIOS.</w:t>
      </w:r>
    </w:p>
    <w:p w:rsidR="00896C5C" w:rsidRDefault="00896C5C" w:rsidP="00B26C3A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val="es-ES"/>
        </w:rPr>
      </w:pPr>
    </w:p>
    <w:p w:rsidR="00CD7C2E" w:rsidRDefault="00CD7C2E" w:rsidP="00D304E4">
      <w:pPr>
        <w:rPr>
          <w:sz w:val="20"/>
          <w:szCs w:val="20"/>
          <w:lang w:val="es-ES"/>
        </w:rPr>
      </w:pPr>
    </w:p>
    <w:p w:rsidR="00CD7C2E" w:rsidRDefault="00CD7C2E" w:rsidP="00D304E4">
      <w:pPr>
        <w:rPr>
          <w:sz w:val="20"/>
          <w:szCs w:val="20"/>
          <w:lang w:val="es-ES"/>
        </w:rPr>
      </w:pPr>
    </w:p>
    <w:p w:rsidR="00CD7C2E" w:rsidRDefault="00CD7C2E" w:rsidP="00D304E4">
      <w:pPr>
        <w:rPr>
          <w:sz w:val="20"/>
          <w:szCs w:val="20"/>
          <w:lang w:val="es-ES"/>
        </w:rPr>
      </w:pPr>
    </w:p>
    <w:p w:rsidR="00CD7C2E" w:rsidRDefault="00CD7C2E" w:rsidP="00D304E4">
      <w:pPr>
        <w:rPr>
          <w:sz w:val="20"/>
          <w:szCs w:val="20"/>
          <w:lang w:val="es-ES"/>
        </w:rPr>
      </w:pPr>
    </w:p>
    <w:p w:rsidR="00CD7C2E" w:rsidRDefault="00CD7C2E" w:rsidP="00D304E4">
      <w:pPr>
        <w:rPr>
          <w:sz w:val="20"/>
          <w:szCs w:val="20"/>
          <w:lang w:val="es-ES"/>
        </w:rPr>
      </w:pPr>
    </w:p>
    <w:p w:rsidR="00D304E4" w:rsidRPr="00B56B0D" w:rsidRDefault="00D304E4" w:rsidP="00D304E4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BF0DD" wp14:editId="7075B62E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4E4" w:rsidRPr="00F74623" w:rsidRDefault="00D304E4" w:rsidP="00D304E4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CBF0DD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D304E4" w:rsidRPr="00F74623" w:rsidRDefault="00D304E4" w:rsidP="00D304E4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304E4" w:rsidRPr="00B56B0D" w:rsidRDefault="00D304E4" w:rsidP="00D304E4">
      <w:pPr>
        <w:rPr>
          <w:sz w:val="20"/>
          <w:szCs w:val="20"/>
          <w:lang w:val="es-ES"/>
        </w:rPr>
      </w:pPr>
    </w:p>
    <w:p w:rsidR="00896C5C" w:rsidRPr="00896C5C" w:rsidRDefault="00896C5C" w:rsidP="00896C5C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 w:rsidRPr="00896C5C">
        <w:rPr>
          <w:sz w:val="20"/>
          <w:szCs w:val="20"/>
        </w:rPr>
        <w:t xml:space="preserve">3 noches </w:t>
      </w:r>
      <w:r>
        <w:rPr>
          <w:sz w:val="20"/>
          <w:szCs w:val="20"/>
        </w:rPr>
        <w:t>de alojamiento en</w:t>
      </w:r>
      <w:r w:rsidRPr="00896C5C">
        <w:rPr>
          <w:sz w:val="20"/>
          <w:szCs w:val="20"/>
        </w:rPr>
        <w:t xml:space="preserve"> Estambul, 1 en Ankara, 2 en Capadocia, 1 en </w:t>
      </w:r>
      <w:proofErr w:type="spellStart"/>
      <w:r w:rsidRPr="00896C5C">
        <w:rPr>
          <w:sz w:val="20"/>
          <w:szCs w:val="20"/>
        </w:rPr>
        <w:t>Pamukkale</w:t>
      </w:r>
      <w:proofErr w:type="spellEnd"/>
      <w:r w:rsidRPr="00896C5C">
        <w:rPr>
          <w:sz w:val="20"/>
          <w:szCs w:val="20"/>
        </w:rPr>
        <w:t xml:space="preserve">, 1 en </w:t>
      </w:r>
      <w:proofErr w:type="spellStart"/>
      <w:r w:rsidR="002F027B" w:rsidRPr="002F027B">
        <w:rPr>
          <w:sz w:val="20"/>
          <w:szCs w:val="20"/>
        </w:rPr>
        <w:t>Kusadasi</w:t>
      </w:r>
      <w:proofErr w:type="spellEnd"/>
      <w:r w:rsidRPr="00896C5C">
        <w:rPr>
          <w:sz w:val="20"/>
          <w:szCs w:val="20"/>
        </w:rPr>
        <w:t xml:space="preserve"> y 1 en </w:t>
      </w:r>
      <w:proofErr w:type="spellStart"/>
      <w:r w:rsidRPr="00896C5C">
        <w:rPr>
          <w:sz w:val="20"/>
          <w:szCs w:val="20"/>
        </w:rPr>
        <w:t>Canakkale</w:t>
      </w:r>
      <w:proofErr w:type="spellEnd"/>
      <w:r w:rsidRPr="00896C5C">
        <w:rPr>
          <w:sz w:val="20"/>
          <w:szCs w:val="20"/>
        </w:rPr>
        <w:t xml:space="preserve">. </w:t>
      </w:r>
    </w:p>
    <w:p w:rsidR="00896C5C" w:rsidRDefault="00896C5C" w:rsidP="00896C5C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896C5C">
        <w:rPr>
          <w:sz w:val="20"/>
          <w:szCs w:val="20"/>
        </w:rPr>
        <w:t xml:space="preserve">9 desayunos y </w:t>
      </w:r>
      <w:r w:rsidR="002F027B">
        <w:rPr>
          <w:sz w:val="20"/>
          <w:szCs w:val="20"/>
        </w:rPr>
        <w:t>5</w:t>
      </w:r>
      <w:r w:rsidRPr="00896C5C">
        <w:rPr>
          <w:sz w:val="20"/>
          <w:szCs w:val="20"/>
        </w:rPr>
        <w:t xml:space="preserve"> cenas </w:t>
      </w:r>
    </w:p>
    <w:p w:rsidR="002F027B" w:rsidRPr="002F027B" w:rsidRDefault="002F027B" w:rsidP="00896C5C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b/>
          <w:bCs/>
          <w:sz w:val="20"/>
          <w:szCs w:val="20"/>
          <w:highlight w:val="yellow"/>
        </w:rPr>
      </w:pPr>
      <w:r w:rsidRPr="002F027B">
        <w:rPr>
          <w:b/>
          <w:bCs/>
          <w:sz w:val="20"/>
          <w:szCs w:val="20"/>
          <w:highlight w:val="yellow"/>
        </w:rPr>
        <w:t xml:space="preserve">CENA ESPECIAL DE NAVIDAD en Estambul. </w:t>
      </w:r>
    </w:p>
    <w:p w:rsidR="002F027B" w:rsidRPr="002F027B" w:rsidRDefault="002F027B" w:rsidP="00896C5C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b/>
          <w:bCs/>
          <w:sz w:val="20"/>
          <w:szCs w:val="20"/>
          <w:highlight w:val="yellow"/>
        </w:rPr>
      </w:pPr>
      <w:r w:rsidRPr="002F027B">
        <w:rPr>
          <w:b/>
          <w:bCs/>
          <w:sz w:val="20"/>
          <w:szCs w:val="20"/>
          <w:highlight w:val="yellow"/>
        </w:rPr>
        <w:t xml:space="preserve">CENA ESPECIAL DE AÑO NUEVO en </w:t>
      </w:r>
      <w:proofErr w:type="spellStart"/>
      <w:r w:rsidRPr="002F027B">
        <w:rPr>
          <w:b/>
          <w:bCs/>
          <w:sz w:val="20"/>
          <w:szCs w:val="20"/>
          <w:highlight w:val="yellow"/>
        </w:rPr>
        <w:t>Canakkale</w:t>
      </w:r>
      <w:proofErr w:type="spellEnd"/>
    </w:p>
    <w:p w:rsidR="008C1622" w:rsidRPr="008C1622" w:rsidRDefault="008C1622" w:rsidP="00896C5C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8C1622">
        <w:rPr>
          <w:sz w:val="20"/>
          <w:szCs w:val="20"/>
        </w:rPr>
        <w:t>Traslados aeropuerto/hotel/aeropuerto en servicio compartido.</w:t>
      </w:r>
    </w:p>
    <w:p w:rsidR="008C1622" w:rsidRPr="008C1622" w:rsidRDefault="008C1622" w:rsidP="008C162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8C1622">
        <w:rPr>
          <w:sz w:val="20"/>
          <w:szCs w:val="20"/>
        </w:rPr>
        <w:t>Guía de habla hispana durante su recorrido en servicio compartido.</w:t>
      </w:r>
    </w:p>
    <w:p w:rsidR="008C1622" w:rsidRPr="008C1622" w:rsidRDefault="008C1622" w:rsidP="008C162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8C1622">
        <w:rPr>
          <w:sz w:val="20"/>
          <w:szCs w:val="20"/>
        </w:rPr>
        <w:t>Visitas y entradas según itinerario en servicio compartido.</w:t>
      </w:r>
    </w:p>
    <w:p w:rsidR="008C1622" w:rsidRPr="008C1622" w:rsidRDefault="008C1622" w:rsidP="008C162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8C1622">
        <w:rPr>
          <w:sz w:val="20"/>
          <w:szCs w:val="20"/>
        </w:rPr>
        <w:t xml:space="preserve">Seguro de </w:t>
      </w:r>
      <w:r w:rsidR="00EB4717">
        <w:rPr>
          <w:sz w:val="20"/>
          <w:szCs w:val="20"/>
        </w:rPr>
        <w:t>a</w:t>
      </w:r>
      <w:r w:rsidRPr="008C1622">
        <w:rPr>
          <w:sz w:val="20"/>
          <w:szCs w:val="20"/>
        </w:rPr>
        <w:t>sistencia</w:t>
      </w:r>
      <w:r w:rsidR="000B3087">
        <w:rPr>
          <w:sz w:val="20"/>
          <w:szCs w:val="20"/>
        </w:rPr>
        <w:t xml:space="preserve"> básico</w:t>
      </w:r>
    </w:p>
    <w:p w:rsidR="00002EE5" w:rsidRPr="00D91907" w:rsidRDefault="00002EE5" w:rsidP="00D91907">
      <w:pPr>
        <w:tabs>
          <w:tab w:val="left" w:pos="851"/>
        </w:tabs>
        <w:rPr>
          <w:sz w:val="20"/>
          <w:szCs w:val="20"/>
        </w:rPr>
      </w:pPr>
    </w:p>
    <w:p w:rsidR="00D304E4" w:rsidRPr="00D91907" w:rsidRDefault="00D304E4" w:rsidP="00D91907">
      <w:pPr>
        <w:tabs>
          <w:tab w:val="left" w:pos="851"/>
        </w:tabs>
        <w:rPr>
          <w:b/>
          <w:bCs/>
        </w:rPr>
      </w:pPr>
      <w:r w:rsidRPr="00D91907">
        <w:rPr>
          <w:b/>
          <w:bCs/>
        </w:rPr>
        <w:t>NO Incluye</w:t>
      </w:r>
    </w:p>
    <w:p w:rsidR="00D304E4" w:rsidRDefault="00D304E4" w:rsidP="00D91907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 y doméstico</w:t>
      </w:r>
      <w:r w:rsidR="00A73CB1">
        <w:rPr>
          <w:sz w:val="20"/>
          <w:szCs w:val="20"/>
        </w:rPr>
        <w:t>s</w:t>
      </w:r>
    </w:p>
    <w:p w:rsidR="00A70329" w:rsidRPr="00B56B0D" w:rsidRDefault="00A70329" w:rsidP="00D91907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D304E4" w:rsidRPr="00B56B0D" w:rsidRDefault="00D304E4" w:rsidP="00D91907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D304E4" w:rsidRPr="00B56B0D" w:rsidRDefault="00D304E4" w:rsidP="00D91907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D304E4" w:rsidRPr="00B56B0D" w:rsidRDefault="00D304E4" w:rsidP="00D91907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D304E4" w:rsidRDefault="00D304E4" w:rsidP="00D91907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097591" w:rsidRDefault="00097591" w:rsidP="00D91907">
      <w:pPr>
        <w:rPr>
          <w:rFonts w:eastAsia="Calibri" w:cs="Tahoma"/>
          <w:b/>
          <w:color w:val="000000" w:themeColor="text1"/>
        </w:rPr>
      </w:pPr>
    </w:p>
    <w:p w:rsidR="004D19A3" w:rsidRDefault="004D19A3" w:rsidP="00D91907">
      <w:pPr>
        <w:rPr>
          <w:rFonts w:eastAsia="Calibri" w:cs="Tahoma"/>
          <w:b/>
          <w:color w:val="000000" w:themeColor="text1"/>
        </w:rPr>
      </w:pPr>
    </w:p>
    <w:p w:rsidR="004D19A3" w:rsidRDefault="004D19A3" w:rsidP="00D91907">
      <w:pPr>
        <w:rPr>
          <w:rFonts w:eastAsia="Calibri" w:cs="Tahoma"/>
          <w:b/>
          <w:color w:val="000000" w:themeColor="text1"/>
        </w:rPr>
      </w:pPr>
    </w:p>
    <w:tbl>
      <w:tblPr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1134"/>
        <w:gridCol w:w="914"/>
        <w:gridCol w:w="929"/>
      </w:tblGrid>
      <w:tr w:rsidR="002F027B" w:rsidRPr="002F027B" w:rsidTr="002F027B">
        <w:trPr>
          <w:trHeight w:val="315"/>
        </w:trPr>
        <w:tc>
          <w:tcPr>
            <w:tcW w:w="807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2F027B" w:rsidRPr="002F027B" w:rsidTr="002F027B">
        <w:trPr>
          <w:trHeight w:val="84"/>
        </w:trPr>
        <w:tc>
          <w:tcPr>
            <w:tcW w:w="80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                                 </w:t>
            </w:r>
            <w:proofErr w:type="gramStart"/>
            <w:r w:rsidRPr="002F02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2F02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2F027B" w:rsidRPr="002F027B" w:rsidTr="002F027B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24 Diciembre 2022 - 02 Enero 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DOBLE/ TRIPLE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2F027B" w:rsidRPr="002F027B" w:rsidTr="002F027B">
        <w:trPr>
          <w:trHeight w:val="300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1119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1529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1100</w:t>
            </w:r>
          </w:p>
        </w:tc>
      </w:tr>
      <w:tr w:rsidR="002F027B" w:rsidRPr="002F027B" w:rsidTr="002F027B">
        <w:trPr>
          <w:trHeight w:val="3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1672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2600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1658</w:t>
            </w:r>
          </w:p>
        </w:tc>
      </w:tr>
      <w:tr w:rsidR="002F027B" w:rsidRPr="002F027B" w:rsidTr="002F027B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Exc</w:t>
            </w:r>
            <w:proofErr w:type="spellEnd"/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</w:t>
            </w:r>
            <w:proofErr w:type="spellStart"/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Bosphorus</w:t>
            </w:r>
            <w:proofErr w:type="spellEnd"/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&amp; Barrio </w:t>
            </w:r>
            <w:proofErr w:type="spellStart"/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Sultanahmet</w:t>
            </w:r>
            <w:proofErr w:type="spellEnd"/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regular c/almuerzo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116</w:t>
            </w:r>
          </w:p>
        </w:tc>
      </w:tr>
      <w:tr w:rsidR="002F027B" w:rsidRPr="002F027B" w:rsidTr="002F027B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Exc</w:t>
            </w:r>
            <w:proofErr w:type="spellEnd"/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Palacio </w:t>
            </w:r>
            <w:proofErr w:type="spellStart"/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Topkapi</w:t>
            </w:r>
            <w:proofErr w:type="spellEnd"/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y Gran Bazar regular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89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89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89</w:t>
            </w:r>
          </w:p>
        </w:tc>
      </w:tr>
      <w:tr w:rsidR="002F027B" w:rsidRPr="002F027B" w:rsidTr="002F027B">
        <w:trPr>
          <w:trHeight w:val="315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Espectáculo en Capadocia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89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89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89</w:t>
            </w:r>
          </w:p>
        </w:tc>
      </w:tr>
      <w:tr w:rsidR="002F027B" w:rsidRPr="002F027B" w:rsidTr="002F027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Paseo en globo en Capadocia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356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356</w:t>
            </w:r>
          </w:p>
        </w:tc>
      </w:tr>
      <w:tr w:rsidR="002F027B" w:rsidRPr="002F027B" w:rsidTr="002F027B">
        <w:trPr>
          <w:trHeight w:val="315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Promo</w:t>
            </w:r>
            <w:proofErr w:type="spellEnd"/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4 excursiones (</w:t>
            </w:r>
            <w:proofErr w:type="spellStart"/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Bosphorus</w:t>
            </w:r>
            <w:proofErr w:type="spellEnd"/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+ Palacio </w:t>
            </w:r>
            <w:proofErr w:type="spellStart"/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Topkapi</w:t>
            </w:r>
            <w:proofErr w:type="spellEnd"/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+ Espectáculo + Globo)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645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645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645</w:t>
            </w:r>
          </w:p>
        </w:tc>
      </w:tr>
      <w:tr w:rsidR="002F027B" w:rsidRPr="002F027B" w:rsidTr="002F027B">
        <w:trPr>
          <w:trHeight w:val="300"/>
        </w:trPr>
        <w:tc>
          <w:tcPr>
            <w:tcW w:w="807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 SIN PREVIO AVISO </w:t>
            </w:r>
          </w:p>
        </w:tc>
      </w:tr>
      <w:tr w:rsidR="002F027B" w:rsidRPr="002F027B" w:rsidTr="002F027B">
        <w:trPr>
          <w:trHeight w:val="315"/>
        </w:trPr>
        <w:tc>
          <w:tcPr>
            <w:tcW w:w="807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CD7C2E" w:rsidRPr="002F027B" w:rsidRDefault="00CD7C2E" w:rsidP="00D91907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1138"/>
        <w:gridCol w:w="3441"/>
      </w:tblGrid>
      <w:tr w:rsidR="002F027B" w:rsidRPr="002F027B" w:rsidTr="002F027B">
        <w:trPr>
          <w:trHeight w:val="147"/>
        </w:trPr>
        <w:tc>
          <w:tcPr>
            <w:tcW w:w="56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2F027B" w:rsidRPr="002F027B" w:rsidTr="002F027B">
        <w:trPr>
          <w:trHeight w:val="60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3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2F027B" w:rsidRPr="002F027B" w:rsidTr="002F027B">
        <w:trPr>
          <w:trHeight w:val="60"/>
        </w:trPr>
        <w:tc>
          <w:tcPr>
            <w:tcW w:w="1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Estambul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The Occidental </w:t>
            </w:r>
          </w:p>
        </w:tc>
      </w:tr>
      <w:tr w:rsidR="002F027B" w:rsidRPr="002F027B" w:rsidTr="002F027B">
        <w:trPr>
          <w:trHeight w:val="6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Ankara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Anadolu</w:t>
            </w:r>
            <w:proofErr w:type="spellEnd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Downtown</w:t>
            </w:r>
            <w:proofErr w:type="spellEnd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2F027B" w:rsidRPr="002F027B" w:rsidTr="002F027B">
        <w:trPr>
          <w:trHeight w:val="6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Capadocia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Dinler</w:t>
            </w:r>
            <w:proofErr w:type="spellEnd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Urgup</w:t>
            </w:r>
            <w:proofErr w:type="spellEnd"/>
          </w:p>
        </w:tc>
      </w:tr>
      <w:tr w:rsidR="002F027B" w:rsidRPr="002F027B" w:rsidTr="002F027B">
        <w:trPr>
          <w:trHeight w:val="6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Pamukkale</w:t>
            </w:r>
            <w:proofErr w:type="spellEnd"/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Lycus</w:t>
            </w:r>
            <w:proofErr w:type="spellEnd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River </w:t>
            </w:r>
          </w:p>
        </w:tc>
      </w:tr>
      <w:tr w:rsidR="002F027B" w:rsidRPr="002F027B" w:rsidTr="002F027B">
        <w:trPr>
          <w:trHeight w:val="6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Kusadasi</w:t>
            </w:r>
            <w:proofErr w:type="spellEnd"/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Ramada Suite  </w:t>
            </w:r>
          </w:p>
        </w:tc>
      </w:tr>
      <w:tr w:rsidR="002F027B" w:rsidRPr="002F027B" w:rsidTr="002F027B">
        <w:trPr>
          <w:trHeight w:val="6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Canakkale</w:t>
            </w:r>
            <w:proofErr w:type="spellEnd"/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Iris 4*</w:t>
            </w:r>
          </w:p>
        </w:tc>
      </w:tr>
      <w:tr w:rsidR="002F027B" w:rsidRPr="002F027B" w:rsidTr="002F027B">
        <w:trPr>
          <w:trHeight w:val="60"/>
        </w:trPr>
        <w:tc>
          <w:tcPr>
            <w:tcW w:w="1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Estambul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Barcelo</w:t>
            </w:r>
            <w:proofErr w:type="spellEnd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Taksim</w:t>
            </w:r>
            <w:proofErr w:type="spellEnd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2F027B" w:rsidRPr="002F027B" w:rsidTr="002F027B">
        <w:trPr>
          <w:trHeight w:val="6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Ankara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Movenpick</w:t>
            </w:r>
            <w:proofErr w:type="spellEnd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Ankara </w:t>
            </w:r>
          </w:p>
        </w:tc>
      </w:tr>
      <w:tr w:rsidR="002F027B" w:rsidRPr="002F027B" w:rsidTr="002F027B">
        <w:trPr>
          <w:trHeight w:val="6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Capadocia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Yunak</w:t>
            </w:r>
            <w:proofErr w:type="spellEnd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Hotel tipo Cueva  Boutique </w:t>
            </w:r>
          </w:p>
        </w:tc>
      </w:tr>
      <w:tr w:rsidR="002F027B" w:rsidRPr="002F027B" w:rsidTr="002F027B">
        <w:trPr>
          <w:trHeight w:val="6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Pamukkale</w:t>
            </w:r>
            <w:proofErr w:type="spellEnd"/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Colossae</w:t>
            </w:r>
            <w:proofErr w:type="spellEnd"/>
          </w:p>
        </w:tc>
      </w:tr>
      <w:tr w:rsidR="002F027B" w:rsidRPr="002F027B" w:rsidTr="002F027B">
        <w:trPr>
          <w:trHeight w:val="109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Kusadasi</w:t>
            </w:r>
            <w:proofErr w:type="spellEnd"/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Charisma</w:t>
            </w:r>
            <w:proofErr w:type="spellEnd"/>
          </w:p>
        </w:tc>
      </w:tr>
      <w:tr w:rsidR="002F027B" w:rsidRPr="002F027B" w:rsidTr="002F027B">
        <w:trPr>
          <w:trHeight w:val="6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Canakkale</w:t>
            </w:r>
            <w:proofErr w:type="spellEnd"/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27B" w:rsidRPr="002F027B" w:rsidRDefault="002F027B" w:rsidP="002F02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02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Kolin</w:t>
            </w:r>
            <w:proofErr w:type="spellEnd"/>
          </w:p>
        </w:tc>
      </w:tr>
    </w:tbl>
    <w:p w:rsidR="00CD7C2E" w:rsidRDefault="00CD7C2E" w:rsidP="00D91907">
      <w:pPr>
        <w:rPr>
          <w:rFonts w:eastAsia="Calibri" w:cs="Tahoma"/>
          <w:b/>
          <w:color w:val="000000" w:themeColor="text1"/>
        </w:rPr>
      </w:pPr>
    </w:p>
    <w:p w:rsidR="00D91907" w:rsidRDefault="00D91907" w:rsidP="00D91907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8C1622" w:rsidRPr="00853391" w:rsidRDefault="008C1622" w:rsidP="008C1622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>Requiere visa para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 xml:space="preserve"> </w:t>
      </w:r>
      <w:r w:rsidR="00881FF0">
        <w:rPr>
          <w:rFonts w:ascii="Tahoma" w:eastAsia="Calibri" w:hAnsi="Tahoma" w:cs="Tahoma"/>
          <w:b/>
          <w:color w:val="00B050"/>
          <w:sz w:val="20"/>
          <w:lang w:val="es-MX"/>
        </w:rPr>
        <w:t>Turquía</w:t>
      </w:r>
    </w:p>
    <w:p w:rsidR="00D91907" w:rsidRPr="00516A7D" w:rsidRDefault="00D91907" w:rsidP="00516A7D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516A7D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D91907" w:rsidRPr="00516A7D" w:rsidRDefault="00D91907" w:rsidP="00516A7D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516A7D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D91907" w:rsidRPr="00516A7D" w:rsidRDefault="00D91907" w:rsidP="00516A7D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516A7D">
        <w:rPr>
          <w:rStyle w:val="Textoennegrita"/>
          <w:sz w:val="20"/>
          <w:szCs w:val="20"/>
        </w:rPr>
        <w:t>Recomendamos viajar bajo la cobertura de una póliza de Seguro</w:t>
      </w:r>
      <w:r w:rsidR="000B3087">
        <w:rPr>
          <w:rStyle w:val="Textoennegrita"/>
          <w:sz w:val="20"/>
          <w:szCs w:val="20"/>
        </w:rPr>
        <w:t xml:space="preserve"> más amplia</w:t>
      </w:r>
      <w:r w:rsidRPr="00516A7D">
        <w:rPr>
          <w:rStyle w:val="Textoennegrita"/>
          <w:sz w:val="20"/>
          <w:szCs w:val="20"/>
        </w:rPr>
        <w:t>. Su ejecutivo</w:t>
      </w:r>
      <w:r w:rsidR="000B3087">
        <w:rPr>
          <w:rStyle w:val="Textoennegrita"/>
          <w:sz w:val="20"/>
          <w:szCs w:val="20"/>
        </w:rPr>
        <w:t xml:space="preserve"> de JuliàTours</w:t>
      </w:r>
      <w:r w:rsidRPr="00516A7D">
        <w:rPr>
          <w:rStyle w:val="Textoennegrita"/>
          <w:sz w:val="20"/>
          <w:szCs w:val="20"/>
        </w:rPr>
        <w:t xml:space="preserve"> puede informarle.  </w:t>
      </w:r>
    </w:p>
    <w:p w:rsidR="00D91907" w:rsidRPr="00516A7D" w:rsidRDefault="00D91907" w:rsidP="00516A7D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 w:rsidRPr="00516A7D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D91907" w:rsidRPr="00516A7D" w:rsidRDefault="00D91907" w:rsidP="00516A7D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 w:rsidRPr="00516A7D">
        <w:rPr>
          <w:sz w:val="20"/>
          <w:szCs w:val="20"/>
        </w:rPr>
        <w:t>Algunos hoteles cobran un resort fee que el pasajero deberá pagar en destino.</w:t>
      </w:r>
      <w:r w:rsidRPr="00516A7D">
        <w:rPr>
          <w:sz w:val="20"/>
          <w:szCs w:val="20"/>
        </w:rPr>
        <w:br/>
        <w:t xml:space="preserve">El Horario estándar del </w:t>
      </w:r>
      <w:proofErr w:type="spellStart"/>
      <w:r w:rsidRPr="00516A7D">
        <w:rPr>
          <w:sz w:val="20"/>
          <w:szCs w:val="20"/>
        </w:rPr>
        <w:t>Check</w:t>
      </w:r>
      <w:proofErr w:type="spellEnd"/>
      <w:r w:rsidRPr="00516A7D">
        <w:rPr>
          <w:sz w:val="20"/>
          <w:szCs w:val="20"/>
        </w:rPr>
        <w:t xml:space="preserve"> in 15:00hrs y </w:t>
      </w:r>
      <w:proofErr w:type="gramStart"/>
      <w:r w:rsidRPr="00516A7D">
        <w:rPr>
          <w:sz w:val="20"/>
          <w:szCs w:val="20"/>
        </w:rPr>
        <w:t xml:space="preserve">el </w:t>
      </w:r>
      <w:proofErr w:type="spellStart"/>
      <w:r w:rsidRPr="00516A7D">
        <w:rPr>
          <w:sz w:val="20"/>
          <w:szCs w:val="20"/>
        </w:rPr>
        <w:t>Check</w:t>
      </w:r>
      <w:proofErr w:type="spellEnd"/>
      <w:r w:rsidRPr="00516A7D">
        <w:rPr>
          <w:sz w:val="20"/>
          <w:szCs w:val="20"/>
        </w:rPr>
        <w:t xml:space="preserve"> </w:t>
      </w:r>
      <w:proofErr w:type="spellStart"/>
      <w:r w:rsidRPr="00516A7D">
        <w:rPr>
          <w:sz w:val="20"/>
          <w:szCs w:val="20"/>
        </w:rPr>
        <w:t>Out</w:t>
      </w:r>
      <w:proofErr w:type="spellEnd"/>
      <w:proofErr w:type="gramEnd"/>
      <w:r w:rsidRPr="00516A7D">
        <w:rPr>
          <w:sz w:val="20"/>
          <w:szCs w:val="20"/>
        </w:rPr>
        <w:t xml:space="preserve"> 11:00hrs.</w:t>
      </w:r>
    </w:p>
    <w:p w:rsidR="00D91907" w:rsidRDefault="00D91907" w:rsidP="00516A7D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 w:rsidRPr="00516A7D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896C5C" w:rsidRPr="00896C5C" w:rsidRDefault="00896C5C" w:rsidP="00896C5C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896C5C">
        <w:rPr>
          <w:sz w:val="20"/>
          <w:szCs w:val="20"/>
        </w:rPr>
        <w:t xml:space="preserve">Los traslados están considerados en horario diurno y para un mínimo de dos personas, en horario nocturno </w:t>
      </w:r>
    </w:p>
    <w:p w:rsidR="00896C5C" w:rsidRDefault="00896C5C" w:rsidP="00896C5C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896C5C">
        <w:rPr>
          <w:sz w:val="20"/>
          <w:szCs w:val="20"/>
        </w:rPr>
        <w:t>El hotel de Capadocia será confirmado en categoría 4* o 5* según disponibilidad.</w:t>
      </w:r>
    </w:p>
    <w:p w:rsidR="00896C5C" w:rsidRPr="002F027B" w:rsidRDefault="002F027B" w:rsidP="002F027B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2F027B">
        <w:rPr>
          <w:sz w:val="20"/>
          <w:szCs w:val="20"/>
        </w:rPr>
        <w:t xml:space="preserve">Cuota de Servicios  Propinas y gastos para restaurantes  y Hoteles Pago en destino  a la llegada  $ 50.00 </w:t>
      </w:r>
      <w:proofErr w:type="spellStart"/>
      <w:r w:rsidRPr="002F027B">
        <w:rPr>
          <w:sz w:val="20"/>
          <w:szCs w:val="20"/>
        </w:rPr>
        <w:t>usd</w:t>
      </w:r>
      <w:proofErr w:type="spellEnd"/>
      <w:r w:rsidRPr="002F027B">
        <w:rPr>
          <w:sz w:val="20"/>
          <w:szCs w:val="20"/>
        </w:rPr>
        <w:t xml:space="preserve"> por persona  </w:t>
      </w:r>
    </w:p>
    <w:sectPr w:rsidR="00896C5C" w:rsidRPr="002F027B" w:rsidSect="00D304E4">
      <w:headerReference w:type="default" r:id="rId8"/>
      <w:footerReference w:type="default" r:id="rId9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7571" w:rsidRDefault="00917571" w:rsidP="00A771DB">
      <w:r>
        <w:separator/>
      </w:r>
    </w:p>
  </w:endnote>
  <w:endnote w:type="continuationSeparator" w:id="0">
    <w:p w:rsidR="00917571" w:rsidRDefault="00917571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04E4" w:rsidRDefault="00D304E4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428B4E97" wp14:editId="759B9CA7">
          <wp:simplePos x="0" y="0"/>
          <wp:positionH relativeFrom="column">
            <wp:posOffset>5191125</wp:posOffset>
          </wp:positionH>
          <wp:positionV relativeFrom="paragraph">
            <wp:posOffset>-820420</wp:posOffset>
          </wp:positionV>
          <wp:extent cx="2120644" cy="588108"/>
          <wp:effectExtent l="0" t="0" r="0" b="0"/>
          <wp:wrapThrough wrapText="bothSides">
            <wp:wrapPolygon edited="0">
              <wp:start x="10868" y="0"/>
              <wp:lineTo x="259" y="3732"/>
              <wp:lineTo x="0" y="13996"/>
              <wp:lineTo x="4140" y="16795"/>
              <wp:lineTo x="4399" y="20527"/>
              <wp:lineTo x="18372" y="20527"/>
              <wp:lineTo x="20442" y="17728"/>
              <wp:lineTo x="20960" y="4665"/>
              <wp:lineTo x="19925" y="2799"/>
              <wp:lineTo x="12420" y="0"/>
              <wp:lineTo x="10868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JT B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644" cy="58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7571" w:rsidRDefault="00917571" w:rsidP="00A771DB">
      <w:r>
        <w:separator/>
      </w:r>
    </w:p>
  </w:footnote>
  <w:footnote w:type="continuationSeparator" w:id="0">
    <w:p w:rsidR="00917571" w:rsidRDefault="00917571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04E4" w:rsidRDefault="00D304E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6FC32C9" wp14:editId="43701057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862281" cy="10175240"/>
          <wp:effectExtent l="0" t="0" r="571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INAL-Diseño-itinerario-Med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281" cy="1017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0C747F3"/>
    <w:multiLevelType w:val="hybridMultilevel"/>
    <w:tmpl w:val="F7DC6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D2553EB"/>
    <w:multiLevelType w:val="hybridMultilevel"/>
    <w:tmpl w:val="458ED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166074">
    <w:abstractNumId w:val="2"/>
  </w:num>
  <w:num w:numId="2" w16cid:durableId="1739015577">
    <w:abstractNumId w:val="0"/>
  </w:num>
  <w:num w:numId="3" w16cid:durableId="1799758331">
    <w:abstractNumId w:val="1"/>
  </w:num>
  <w:num w:numId="4" w16cid:durableId="2141218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2EE5"/>
    <w:rsid w:val="00017FBC"/>
    <w:rsid w:val="000503A2"/>
    <w:rsid w:val="00097591"/>
    <w:rsid w:val="000B3087"/>
    <w:rsid w:val="000D5B89"/>
    <w:rsid w:val="001108FA"/>
    <w:rsid w:val="001424FA"/>
    <w:rsid w:val="0014319E"/>
    <w:rsid w:val="00172DDC"/>
    <w:rsid w:val="00180907"/>
    <w:rsid w:val="001B457A"/>
    <w:rsid w:val="001C0710"/>
    <w:rsid w:val="001C2AD6"/>
    <w:rsid w:val="001F325C"/>
    <w:rsid w:val="00211E28"/>
    <w:rsid w:val="00286473"/>
    <w:rsid w:val="002920E8"/>
    <w:rsid w:val="002F027B"/>
    <w:rsid w:val="003B0516"/>
    <w:rsid w:val="003B7DFF"/>
    <w:rsid w:val="004039FC"/>
    <w:rsid w:val="004129E2"/>
    <w:rsid w:val="0042623C"/>
    <w:rsid w:val="004527ED"/>
    <w:rsid w:val="00453719"/>
    <w:rsid w:val="004844C9"/>
    <w:rsid w:val="004D0A56"/>
    <w:rsid w:val="004D19A3"/>
    <w:rsid w:val="004E33B9"/>
    <w:rsid w:val="00516A7D"/>
    <w:rsid w:val="005544DC"/>
    <w:rsid w:val="005931FE"/>
    <w:rsid w:val="005B22A4"/>
    <w:rsid w:val="005C1A96"/>
    <w:rsid w:val="005E56D7"/>
    <w:rsid w:val="00626644"/>
    <w:rsid w:val="00630DFD"/>
    <w:rsid w:val="006614E3"/>
    <w:rsid w:val="006700F3"/>
    <w:rsid w:val="0067783F"/>
    <w:rsid w:val="006B6C37"/>
    <w:rsid w:val="006D1C51"/>
    <w:rsid w:val="006D4A8B"/>
    <w:rsid w:val="006E2CB5"/>
    <w:rsid w:val="0072772D"/>
    <w:rsid w:val="00741B36"/>
    <w:rsid w:val="007535B8"/>
    <w:rsid w:val="00757AED"/>
    <w:rsid w:val="007E01EC"/>
    <w:rsid w:val="007E02A1"/>
    <w:rsid w:val="0084158F"/>
    <w:rsid w:val="00845BC2"/>
    <w:rsid w:val="00863DF6"/>
    <w:rsid w:val="00881FF0"/>
    <w:rsid w:val="00896175"/>
    <w:rsid w:val="00896C5C"/>
    <w:rsid w:val="008B2FFB"/>
    <w:rsid w:val="008C0AB5"/>
    <w:rsid w:val="008C1622"/>
    <w:rsid w:val="008E4A3B"/>
    <w:rsid w:val="009120ED"/>
    <w:rsid w:val="00917571"/>
    <w:rsid w:val="00993F8F"/>
    <w:rsid w:val="009C6562"/>
    <w:rsid w:val="009F6008"/>
    <w:rsid w:val="00A06AEB"/>
    <w:rsid w:val="00A51267"/>
    <w:rsid w:val="00A70329"/>
    <w:rsid w:val="00A73CB1"/>
    <w:rsid w:val="00A771DB"/>
    <w:rsid w:val="00A851DA"/>
    <w:rsid w:val="00AD318D"/>
    <w:rsid w:val="00AD40CE"/>
    <w:rsid w:val="00AE5D3C"/>
    <w:rsid w:val="00B26C3A"/>
    <w:rsid w:val="00B26DBA"/>
    <w:rsid w:val="00B4627C"/>
    <w:rsid w:val="00B62A2D"/>
    <w:rsid w:val="00B77E86"/>
    <w:rsid w:val="00BA5324"/>
    <w:rsid w:val="00BA7F0A"/>
    <w:rsid w:val="00BB649D"/>
    <w:rsid w:val="00BF6497"/>
    <w:rsid w:val="00C121EA"/>
    <w:rsid w:val="00C25F62"/>
    <w:rsid w:val="00C30BCA"/>
    <w:rsid w:val="00C44F90"/>
    <w:rsid w:val="00C81830"/>
    <w:rsid w:val="00C8284D"/>
    <w:rsid w:val="00CD7C2E"/>
    <w:rsid w:val="00D12AF7"/>
    <w:rsid w:val="00D25A00"/>
    <w:rsid w:val="00D304E4"/>
    <w:rsid w:val="00D91907"/>
    <w:rsid w:val="00D9388D"/>
    <w:rsid w:val="00D973B6"/>
    <w:rsid w:val="00DC55C8"/>
    <w:rsid w:val="00DD135C"/>
    <w:rsid w:val="00DE7612"/>
    <w:rsid w:val="00E32650"/>
    <w:rsid w:val="00E635F3"/>
    <w:rsid w:val="00E76C5D"/>
    <w:rsid w:val="00EB4717"/>
    <w:rsid w:val="00EC4F54"/>
    <w:rsid w:val="00EC78EF"/>
    <w:rsid w:val="00F074E2"/>
    <w:rsid w:val="00F21252"/>
    <w:rsid w:val="00F432F1"/>
    <w:rsid w:val="00F532FB"/>
    <w:rsid w:val="00F7152D"/>
    <w:rsid w:val="00F84004"/>
    <w:rsid w:val="00F91F51"/>
    <w:rsid w:val="00F93D89"/>
    <w:rsid w:val="00F9579E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D304E4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8C0AB5"/>
    <w:rPr>
      <w:b/>
      <w:bCs/>
    </w:rPr>
  </w:style>
  <w:style w:type="paragraph" w:customStyle="1" w:styleId="Default">
    <w:name w:val="Default"/>
    <w:rsid w:val="0042623C"/>
    <w:pPr>
      <w:autoSpaceDE w:val="0"/>
      <w:autoSpaceDN w:val="0"/>
      <w:adjustRightInd w:val="0"/>
    </w:pPr>
    <w:rPr>
      <w:rFonts w:ascii="Comic Sans MS" w:eastAsiaTheme="minorEastAsia" w:hAnsi="Comic Sans MS" w:cs="Comic Sans MS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D9FD-B491-465D-BE46-243427C5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Confirmaciones "JULIA TOURS"</cp:lastModifiedBy>
  <cp:revision>1</cp:revision>
  <cp:lastPrinted>2020-12-04T17:47:00Z</cp:lastPrinted>
  <dcterms:created xsi:type="dcterms:W3CDTF">2022-06-06T20:50:00Z</dcterms:created>
  <dcterms:modified xsi:type="dcterms:W3CDTF">2022-06-06T20:50:00Z</dcterms:modified>
</cp:coreProperties>
</file>