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A4" w:rsidRDefault="00683DA4" w:rsidP="00683DA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Postales </w:t>
      </w:r>
    </w:p>
    <w:p w:rsidR="001732DB" w:rsidRPr="00883B24" w:rsidRDefault="00683DA4" w:rsidP="00683DA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de </w:t>
      </w:r>
      <w:r w:rsidR="003A5D3C">
        <w:rPr>
          <w:b/>
          <w:sz w:val="72"/>
          <w:szCs w:val="72"/>
          <w:lang w:val="es-ES"/>
        </w:rPr>
        <w:t>Alemania 2024</w:t>
      </w:r>
    </w:p>
    <w:p w:rsidR="00D31BDF" w:rsidRPr="00916AF0" w:rsidRDefault="00456315" w:rsidP="00916AF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8 </w:t>
      </w:r>
      <w:r w:rsidR="00DE0CE8">
        <w:rPr>
          <w:b/>
          <w:sz w:val="32"/>
          <w:szCs w:val="32"/>
          <w:lang w:val="es-ES"/>
        </w:rPr>
        <w:t>días</w:t>
      </w:r>
      <w:r>
        <w:rPr>
          <w:b/>
          <w:sz w:val="32"/>
          <w:szCs w:val="32"/>
          <w:lang w:val="es-ES"/>
        </w:rPr>
        <w:t xml:space="preserve"> / 7 noches </w:t>
      </w:r>
    </w:p>
    <w:p w:rsidR="001732DB" w:rsidRPr="004E6435" w:rsidRDefault="001732DB" w:rsidP="001732DB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1732DB" w:rsidRDefault="001732DB" w:rsidP="001732DB">
      <w:pPr>
        <w:jc w:val="both"/>
        <w:rPr>
          <w:b/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1</w:t>
      </w:r>
      <w:r w:rsidR="00B040D6">
        <w:rPr>
          <w:b/>
          <w:bCs/>
          <w:sz w:val="20"/>
          <w:szCs w:val="20"/>
        </w:rPr>
        <w:t xml:space="preserve">. </w:t>
      </w:r>
      <w:r w:rsidRPr="006A2D0F">
        <w:rPr>
          <w:b/>
          <w:bCs/>
          <w:sz w:val="20"/>
          <w:szCs w:val="20"/>
        </w:rPr>
        <w:t xml:space="preserve">Frankfurt </w:t>
      </w:r>
    </w:p>
    <w:p w:rsidR="00DF65B1" w:rsidRDefault="00DF65B1" w:rsidP="00D16F2E">
      <w:pPr>
        <w:jc w:val="both"/>
        <w:rPr>
          <w:sz w:val="20"/>
          <w:szCs w:val="20"/>
        </w:rPr>
      </w:pPr>
      <w:r w:rsidRPr="00DF65B1">
        <w:rPr>
          <w:sz w:val="20"/>
          <w:szCs w:val="20"/>
        </w:rPr>
        <w:t>Llegada a Frankfurt (el traslado al hotel no está incluido).</w:t>
      </w:r>
      <w:r w:rsidR="00823ED3">
        <w:rPr>
          <w:sz w:val="20"/>
          <w:szCs w:val="20"/>
        </w:rPr>
        <w:t xml:space="preserve"> </w:t>
      </w:r>
      <w:r w:rsidRPr="00DF65B1">
        <w:rPr>
          <w:sz w:val="20"/>
          <w:szCs w:val="20"/>
        </w:rPr>
        <w:t xml:space="preserve">A las 19.30 </w:t>
      </w:r>
      <w:proofErr w:type="spellStart"/>
      <w:r w:rsidRPr="00DF65B1">
        <w:rPr>
          <w:sz w:val="20"/>
          <w:szCs w:val="20"/>
        </w:rPr>
        <w:t>hrs</w:t>
      </w:r>
      <w:proofErr w:type="spellEnd"/>
      <w:r w:rsidRPr="00DF65B1">
        <w:rPr>
          <w:sz w:val="20"/>
          <w:szCs w:val="20"/>
        </w:rPr>
        <w:t xml:space="preserve"> reunión informativa en la recepción del hotel con nuestro gu</w:t>
      </w:r>
      <w:r w:rsidR="00823ED3">
        <w:rPr>
          <w:sz w:val="20"/>
          <w:szCs w:val="20"/>
        </w:rPr>
        <w:t xml:space="preserve">ía. </w:t>
      </w:r>
      <w:r w:rsidR="00823ED3" w:rsidRPr="00823ED3">
        <w:rPr>
          <w:b/>
          <w:bCs/>
          <w:sz w:val="20"/>
          <w:szCs w:val="20"/>
        </w:rPr>
        <w:t>Alojamiento.</w:t>
      </w:r>
      <w:r w:rsidR="00823ED3">
        <w:rPr>
          <w:sz w:val="20"/>
          <w:szCs w:val="20"/>
        </w:rPr>
        <w:t xml:space="preserve"> </w:t>
      </w:r>
    </w:p>
    <w:p w:rsidR="000E7D7D" w:rsidRDefault="000E7D7D" w:rsidP="00D16F2E">
      <w:pPr>
        <w:jc w:val="both"/>
        <w:rPr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2</w:t>
      </w:r>
      <w:r w:rsidR="00B040D6">
        <w:rPr>
          <w:b/>
          <w:bCs/>
          <w:sz w:val="20"/>
          <w:szCs w:val="20"/>
        </w:rPr>
        <w:t xml:space="preserve">. </w:t>
      </w:r>
      <w:r w:rsidRPr="006A2D0F">
        <w:rPr>
          <w:b/>
          <w:bCs/>
          <w:sz w:val="20"/>
          <w:szCs w:val="20"/>
        </w:rPr>
        <w:t xml:space="preserve">Frankfurt - Heidelberg </w:t>
      </w:r>
    </w:p>
    <w:p w:rsidR="00DF65B1" w:rsidRPr="00857437" w:rsidRDefault="00DF65B1" w:rsidP="00D16F2E">
      <w:pPr>
        <w:jc w:val="both"/>
        <w:rPr>
          <w:b/>
          <w:bCs/>
          <w:sz w:val="20"/>
          <w:szCs w:val="20"/>
        </w:rPr>
      </w:pPr>
      <w:r w:rsidRPr="00F153BE">
        <w:rPr>
          <w:b/>
          <w:bCs/>
          <w:sz w:val="20"/>
          <w:szCs w:val="20"/>
        </w:rPr>
        <w:t>Desayuno</w:t>
      </w:r>
      <w:r w:rsidR="00F153BE">
        <w:rPr>
          <w:sz w:val="20"/>
          <w:szCs w:val="20"/>
        </w:rPr>
        <w:t>. S</w:t>
      </w:r>
      <w:r w:rsidRPr="00DF65B1">
        <w:rPr>
          <w:sz w:val="20"/>
          <w:szCs w:val="20"/>
        </w:rPr>
        <w:t xml:space="preserve">alida a </w:t>
      </w:r>
      <w:proofErr w:type="spellStart"/>
      <w:r w:rsidRPr="00DF65B1">
        <w:rPr>
          <w:sz w:val="20"/>
          <w:szCs w:val="20"/>
        </w:rPr>
        <w:t>Rüdesheim</w:t>
      </w:r>
      <w:proofErr w:type="spellEnd"/>
      <w:r w:rsidRPr="00DF65B1">
        <w:rPr>
          <w:sz w:val="20"/>
          <w:szCs w:val="20"/>
        </w:rPr>
        <w:t xml:space="preserve">, pueblo típico a orillas del río </w:t>
      </w:r>
      <w:proofErr w:type="spellStart"/>
      <w:r w:rsidRPr="00DF65B1">
        <w:rPr>
          <w:sz w:val="20"/>
          <w:szCs w:val="20"/>
        </w:rPr>
        <w:t>Rhin</w:t>
      </w:r>
      <w:proofErr w:type="spellEnd"/>
      <w:r w:rsidRPr="00DF65B1">
        <w:rPr>
          <w:sz w:val="20"/>
          <w:szCs w:val="20"/>
        </w:rPr>
        <w:t xml:space="preserve">. Embarque a un crucero fluvial pasando por un paisaje encantador hacia la localidad de St. </w:t>
      </w:r>
      <w:proofErr w:type="spellStart"/>
      <w:r w:rsidRPr="00DF65B1">
        <w:rPr>
          <w:sz w:val="20"/>
          <w:szCs w:val="20"/>
        </w:rPr>
        <w:t>Goarhausen</w:t>
      </w:r>
      <w:proofErr w:type="spellEnd"/>
      <w:r w:rsidRPr="00DF65B1">
        <w:rPr>
          <w:sz w:val="20"/>
          <w:szCs w:val="20"/>
        </w:rPr>
        <w:t xml:space="preserve">, donde haremos el desembarque. Continuación del viaje hacia Heidelberg, la ciudad universitaria más antigua de Alemania. Con su romántico ambiente como sacado de un cuento de hadas y su idílica ubicación entre bosques y viñedos justo al lado del río Neckar, conjugan la vida estudiantil, pintorescas callejuelas, locales románticos y juveniles, cultura e impresionantes monumentos. </w:t>
      </w:r>
      <w:r w:rsidRPr="00857437">
        <w:rPr>
          <w:b/>
          <w:bCs/>
          <w:sz w:val="20"/>
          <w:szCs w:val="20"/>
        </w:rPr>
        <w:t>Alojamiento.</w:t>
      </w:r>
    </w:p>
    <w:p w:rsidR="003D5F86" w:rsidRDefault="003D5F86" w:rsidP="00D16F2E">
      <w:pPr>
        <w:jc w:val="both"/>
        <w:rPr>
          <w:sz w:val="20"/>
          <w:szCs w:val="20"/>
        </w:rPr>
      </w:pPr>
    </w:p>
    <w:p w:rsidR="00594329" w:rsidRPr="009B75F8" w:rsidRDefault="006A2D0F" w:rsidP="00D16F2E">
      <w:pPr>
        <w:jc w:val="both"/>
        <w:rPr>
          <w:b/>
          <w:bCs/>
          <w:sz w:val="20"/>
          <w:szCs w:val="20"/>
          <w:lang w:val="es-MX"/>
        </w:rPr>
      </w:pPr>
      <w:r w:rsidRPr="009B75F8">
        <w:rPr>
          <w:b/>
          <w:bCs/>
          <w:sz w:val="20"/>
          <w:szCs w:val="20"/>
          <w:lang w:val="es-MX"/>
        </w:rPr>
        <w:t>Día 3</w:t>
      </w:r>
      <w:r w:rsidR="00B040D6" w:rsidRPr="009B75F8">
        <w:rPr>
          <w:b/>
          <w:bCs/>
          <w:sz w:val="20"/>
          <w:szCs w:val="20"/>
          <w:lang w:val="es-MX"/>
        </w:rPr>
        <w:t xml:space="preserve">. </w:t>
      </w:r>
      <w:r w:rsidRPr="009B75F8">
        <w:rPr>
          <w:b/>
          <w:bCs/>
          <w:sz w:val="20"/>
          <w:szCs w:val="20"/>
          <w:lang w:val="es-MX"/>
        </w:rPr>
        <w:t xml:space="preserve">Heidelberg - </w:t>
      </w:r>
      <w:proofErr w:type="spellStart"/>
      <w:r w:rsidRPr="009B75F8">
        <w:rPr>
          <w:b/>
          <w:bCs/>
          <w:sz w:val="20"/>
          <w:szCs w:val="20"/>
          <w:lang w:val="es-MX"/>
        </w:rPr>
        <w:t>Wurzburgo</w:t>
      </w:r>
      <w:proofErr w:type="spellEnd"/>
      <w:r w:rsidRPr="009B75F8">
        <w:rPr>
          <w:b/>
          <w:bCs/>
          <w:sz w:val="20"/>
          <w:szCs w:val="20"/>
          <w:lang w:val="es-MX"/>
        </w:rPr>
        <w:t xml:space="preserve"> - </w:t>
      </w:r>
      <w:proofErr w:type="spellStart"/>
      <w:r w:rsidRPr="009B75F8">
        <w:rPr>
          <w:b/>
          <w:bCs/>
          <w:sz w:val="20"/>
          <w:szCs w:val="20"/>
          <w:lang w:val="es-MX"/>
        </w:rPr>
        <w:t>Erlangen</w:t>
      </w:r>
      <w:proofErr w:type="spellEnd"/>
      <w:r w:rsidRPr="009B75F8">
        <w:rPr>
          <w:b/>
          <w:bCs/>
          <w:sz w:val="20"/>
          <w:szCs w:val="20"/>
          <w:lang w:val="es-MX"/>
        </w:rPr>
        <w:t xml:space="preserve"> </w:t>
      </w:r>
    </w:p>
    <w:p w:rsidR="00DF65B1" w:rsidRDefault="00DF65B1" w:rsidP="00D16F2E">
      <w:pPr>
        <w:jc w:val="both"/>
        <w:rPr>
          <w:sz w:val="20"/>
          <w:szCs w:val="20"/>
        </w:rPr>
      </w:pPr>
      <w:r w:rsidRPr="009B75F8">
        <w:rPr>
          <w:b/>
          <w:bCs/>
          <w:sz w:val="20"/>
          <w:szCs w:val="20"/>
        </w:rPr>
        <w:t>Desayuno</w:t>
      </w:r>
      <w:r w:rsidR="009B75F8" w:rsidRPr="009B75F8">
        <w:rPr>
          <w:b/>
          <w:bCs/>
          <w:sz w:val="20"/>
          <w:szCs w:val="20"/>
        </w:rPr>
        <w:t>.</w:t>
      </w:r>
      <w:r w:rsidR="00BB5480">
        <w:rPr>
          <w:sz w:val="20"/>
          <w:szCs w:val="20"/>
        </w:rPr>
        <w:t xml:space="preserve"> </w:t>
      </w:r>
      <w:r w:rsidR="009B75F8">
        <w:rPr>
          <w:sz w:val="20"/>
          <w:szCs w:val="20"/>
        </w:rPr>
        <w:t>S</w:t>
      </w:r>
      <w:r w:rsidRPr="00DF65B1">
        <w:rPr>
          <w:sz w:val="20"/>
          <w:szCs w:val="20"/>
        </w:rPr>
        <w:t xml:space="preserve">alida hacia Erlangen, pasando por la ciudad universitaria de </w:t>
      </w:r>
      <w:proofErr w:type="spellStart"/>
      <w:r w:rsidRPr="00DF65B1">
        <w:rPr>
          <w:sz w:val="20"/>
          <w:szCs w:val="20"/>
        </w:rPr>
        <w:t>Wurzburgo</w:t>
      </w:r>
      <w:proofErr w:type="spellEnd"/>
      <w:r w:rsidRPr="00DF65B1">
        <w:rPr>
          <w:sz w:val="20"/>
          <w:szCs w:val="20"/>
        </w:rPr>
        <w:t xml:space="preserve">, con su privilegiada ubicación a ambas orillas del río Meno. </w:t>
      </w:r>
      <w:proofErr w:type="spellStart"/>
      <w:r w:rsidRPr="00DF65B1">
        <w:rPr>
          <w:sz w:val="20"/>
          <w:szCs w:val="20"/>
        </w:rPr>
        <w:t>Wurzburgo</w:t>
      </w:r>
      <w:proofErr w:type="spellEnd"/>
      <w:r w:rsidRPr="00DF65B1">
        <w:rPr>
          <w:sz w:val="20"/>
          <w:szCs w:val="20"/>
        </w:rPr>
        <w:t xml:space="preserve"> se presenta como una ciudad barroca con un estilo sureño y un ambiente acogedor propio de </w:t>
      </w:r>
      <w:proofErr w:type="spellStart"/>
      <w:r w:rsidRPr="00DF65B1">
        <w:rPr>
          <w:sz w:val="20"/>
          <w:szCs w:val="20"/>
        </w:rPr>
        <w:t>Franconia</w:t>
      </w:r>
      <w:proofErr w:type="spellEnd"/>
      <w:r w:rsidRPr="00DF65B1">
        <w:rPr>
          <w:sz w:val="20"/>
          <w:szCs w:val="20"/>
        </w:rPr>
        <w:t xml:space="preserve">. Tiempo libre para pasear por la ciudad donde destacan la Catedral de San Carlos, la cuarta iglesia románica más grande de Alemania, la Fortaleza de </w:t>
      </w:r>
      <w:proofErr w:type="spellStart"/>
      <w:r w:rsidRPr="00DF65B1">
        <w:rPr>
          <w:sz w:val="20"/>
          <w:szCs w:val="20"/>
        </w:rPr>
        <w:t>Marienberg</w:t>
      </w:r>
      <w:proofErr w:type="spellEnd"/>
      <w:r w:rsidRPr="00DF65B1">
        <w:rPr>
          <w:sz w:val="20"/>
          <w:szCs w:val="20"/>
        </w:rPr>
        <w:t xml:space="preserve"> y la Residencia, Patrimonio de la Humanidad de la UNESCO, junto con los Jardines de la Corte y la Plaza de la Residencia. Continuación hacia Erlangen, hoy en día una de las ciudades barrocas mejor conservadas de Alemania ubicado a unos 16 </w:t>
      </w:r>
      <w:proofErr w:type="spellStart"/>
      <w:r w:rsidRPr="00DF65B1">
        <w:rPr>
          <w:sz w:val="20"/>
          <w:szCs w:val="20"/>
        </w:rPr>
        <w:t>kms</w:t>
      </w:r>
      <w:proofErr w:type="spellEnd"/>
      <w:r w:rsidRPr="00DF65B1">
        <w:rPr>
          <w:sz w:val="20"/>
          <w:szCs w:val="20"/>
        </w:rPr>
        <w:t xml:space="preserve"> de </w:t>
      </w:r>
      <w:proofErr w:type="spellStart"/>
      <w:r w:rsidRPr="00DF65B1">
        <w:rPr>
          <w:sz w:val="20"/>
          <w:szCs w:val="20"/>
        </w:rPr>
        <w:t>Nuremberg</w:t>
      </w:r>
      <w:proofErr w:type="spellEnd"/>
      <w:r w:rsidRPr="00DF65B1">
        <w:rPr>
          <w:sz w:val="20"/>
          <w:szCs w:val="20"/>
        </w:rPr>
        <w:t>. Por la tarde visita panorámica de Nuremberg</w:t>
      </w:r>
      <w:r w:rsidR="00BB5480">
        <w:rPr>
          <w:sz w:val="20"/>
          <w:szCs w:val="20"/>
        </w:rPr>
        <w:t xml:space="preserve">. </w:t>
      </w:r>
      <w:r w:rsidR="00BB5480">
        <w:rPr>
          <w:sz w:val="20"/>
          <w:szCs w:val="20"/>
        </w:rPr>
        <w:tab/>
      </w:r>
      <w:r w:rsidR="00BB5480" w:rsidRPr="00BB5480">
        <w:rPr>
          <w:b/>
          <w:bCs/>
          <w:sz w:val="20"/>
          <w:szCs w:val="20"/>
        </w:rPr>
        <w:t>A</w:t>
      </w:r>
      <w:r w:rsidRPr="00BB5480">
        <w:rPr>
          <w:b/>
          <w:bCs/>
          <w:sz w:val="20"/>
          <w:szCs w:val="20"/>
        </w:rPr>
        <w:t>lojamiento.</w:t>
      </w:r>
      <w:r w:rsidRPr="00DF65B1">
        <w:rPr>
          <w:sz w:val="20"/>
          <w:szCs w:val="20"/>
        </w:rPr>
        <w:t xml:space="preserve"> </w:t>
      </w:r>
    </w:p>
    <w:p w:rsidR="00857437" w:rsidRPr="006A2D0F" w:rsidRDefault="00857437" w:rsidP="00D16F2E">
      <w:pPr>
        <w:jc w:val="both"/>
        <w:rPr>
          <w:b/>
          <w:bCs/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4</w:t>
      </w:r>
      <w:r w:rsidR="00B040D6">
        <w:rPr>
          <w:b/>
          <w:bCs/>
          <w:sz w:val="20"/>
          <w:szCs w:val="20"/>
        </w:rPr>
        <w:t xml:space="preserve">. </w:t>
      </w:r>
      <w:proofErr w:type="spellStart"/>
      <w:r w:rsidRPr="006A2D0F">
        <w:rPr>
          <w:b/>
          <w:bCs/>
          <w:sz w:val="20"/>
          <w:szCs w:val="20"/>
        </w:rPr>
        <w:t>Erlangen</w:t>
      </w:r>
      <w:proofErr w:type="spellEnd"/>
      <w:r w:rsidRPr="006A2D0F">
        <w:rPr>
          <w:b/>
          <w:bCs/>
          <w:sz w:val="20"/>
          <w:szCs w:val="20"/>
        </w:rPr>
        <w:t xml:space="preserve"> - </w:t>
      </w:r>
      <w:proofErr w:type="spellStart"/>
      <w:r w:rsidRPr="006A2D0F">
        <w:rPr>
          <w:b/>
          <w:bCs/>
          <w:sz w:val="20"/>
          <w:szCs w:val="20"/>
        </w:rPr>
        <w:t>Rotemburgo</w:t>
      </w:r>
      <w:proofErr w:type="spellEnd"/>
      <w:r w:rsidRPr="006A2D0F">
        <w:rPr>
          <w:b/>
          <w:bCs/>
          <w:sz w:val="20"/>
          <w:szCs w:val="20"/>
        </w:rPr>
        <w:t xml:space="preserve"> - </w:t>
      </w:r>
      <w:proofErr w:type="spellStart"/>
      <w:r w:rsidRPr="006A2D0F">
        <w:rPr>
          <w:b/>
          <w:bCs/>
          <w:sz w:val="20"/>
          <w:szCs w:val="20"/>
        </w:rPr>
        <w:t>Erlangen</w:t>
      </w:r>
      <w:proofErr w:type="spellEnd"/>
      <w:r w:rsidRPr="006A2D0F">
        <w:rPr>
          <w:b/>
          <w:bCs/>
          <w:sz w:val="20"/>
          <w:szCs w:val="20"/>
        </w:rPr>
        <w:t xml:space="preserve"> </w:t>
      </w:r>
    </w:p>
    <w:p w:rsidR="00DF65B1" w:rsidRDefault="00DF65B1" w:rsidP="00D16F2E">
      <w:pPr>
        <w:jc w:val="both"/>
        <w:rPr>
          <w:sz w:val="20"/>
          <w:szCs w:val="20"/>
        </w:rPr>
      </w:pPr>
      <w:r w:rsidRPr="00076C04">
        <w:rPr>
          <w:b/>
          <w:bCs/>
          <w:sz w:val="20"/>
          <w:szCs w:val="20"/>
        </w:rPr>
        <w:t>Desayuno.</w:t>
      </w:r>
      <w:r w:rsidRPr="00DF65B1">
        <w:rPr>
          <w:sz w:val="20"/>
          <w:szCs w:val="20"/>
        </w:rPr>
        <w:t xml:space="preserve"> Excursión de día completo a</w:t>
      </w:r>
      <w:r w:rsidR="002D08DB">
        <w:rPr>
          <w:sz w:val="20"/>
          <w:szCs w:val="20"/>
        </w:rPr>
        <w:t xml:space="preserve"> </w:t>
      </w:r>
      <w:proofErr w:type="spellStart"/>
      <w:r w:rsidRPr="00DF65B1">
        <w:rPr>
          <w:sz w:val="20"/>
          <w:szCs w:val="20"/>
        </w:rPr>
        <w:t>Rotemburgo</w:t>
      </w:r>
      <w:proofErr w:type="spellEnd"/>
      <w:r w:rsidRPr="00DF65B1">
        <w:rPr>
          <w:sz w:val="20"/>
          <w:szCs w:val="20"/>
        </w:rPr>
        <w:t xml:space="preserve"> (</w:t>
      </w:r>
      <w:proofErr w:type="spellStart"/>
      <w:r w:rsidRPr="00DF65B1">
        <w:rPr>
          <w:sz w:val="20"/>
          <w:szCs w:val="20"/>
        </w:rPr>
        <w:t>Rothenburg</w:t>
      </w:r>
      <w:proofErr w:type="spellEnd"/>
      <w:r w:rsidRPr="00DF65B1">
        <w:rPr>
          <w:sz w:val="20"/>
          <w:szCs w:val="20"/>
        </w:rPr>
        <w:t xml:space="preserve"> </w:t>
      </w:r>
      <w:proofErr w:type="spellStart"/>
      <w:r w:rsidRPr="00DF65B1">
        <w:rPr>
          <w:sz w:val="20"/>
          <w:szCs w:val="20"/>
        </w:rPr>
        <w:t>ob</w:t>
      </w:r>
      <w:proofErr w:type="spellEnd"/>
      <w:r w:rsidRPr="00DF65B1">
        <w:rPr>
          <w:sz w:val="20"/>
          <w:szCs w:val="20"/>
        </w:rPr>
        <w:t xml:space="preserve"> der </w:t>
      </w:r>
      <w:proofErr w:type="spellStart"/>
      <w:r w:rsidRPr="00DF65B1">
        <w:rPr>
          <w:sz w:val="20"/>
          <w:szCs w:val="20"/>
        </w:rPr>
        <w:t>Tauber</w:t>
      </w:r>
      <w:proofErr w:type="spellEnd"/>
      <w:r w:rsidRPr="00DF65B1">
        <w:rPr>
          <w:sz w:val="20"/>
          <w:szCs w:val="20"/>
        </w:rPr>
        <w:t xml:space="preserve">), la ciudad medieval mejor conservada de Alemania y capital de la «Ruta </w:t>
      </w:r>
      <w:r w:rsidR="003170CB" w:rsidRPr="00DF65B1">
        <w:rPr>
          <w:sz w:val="20"/>
          <w:szCs w:val="20"/>
        </w:rPr>
        <w:t>Romántica</w:t>
      </w:r>
      <w:r w:rsidRPr="00DF65B1">
        <w:rPr>
          <w:sz w:val="20"/>
          <w:szCs w:val="20"/>
        </w:rPr>
        <w:t xml:space="preserve"> Alemana». </w:t>
      </w:r>
      <w:r w:rsidRPr="003170CB">
        <w:rPr>
          <w:b/>
          <w:bCs/>
          <w:sz w:val="20"/>
          <w:szCs w:val="20"/>
        </w:rPr>
        <w:t>Alojamiento</w:t>
      </w:r>
      <w:r w:rsidR="003170CB" w:rsidRPr="003170CB">
        <w:rPr>
          <w:b/>
          <w:bCs/>
          <w:sz w:val="20"/>
          <w:szCs w:val="20"/>
        </w:rPr>
        <w:t>.</w:t>
      </w:r>
      <w:r w:rsidR="003170CB">
        <w:rPr>
          <w:sz w:val="20"/>
          <w:szCs w:val="20"/>
        </w:rPr>
        <w:t xml:space="preserve"> </w:t>
      </w:r>
    </w:p>
    <w:p w:rsidR="00395C76" w:rsidRDefault="00395C76" w:rsidP="00D16F2E">
      <w:pPr>
        <w:jc w:val="both"/>
        <w:rPr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5</w:t>
      </w:r>
      <w:r w:rsidR="00B040D6">
        <w:rPr>
          <w:b/>
          <w:bCs/>
          <w:sz w:val="20"/>
          <w:szCs w:val="20"/>
        </w:rPr>
        <w:t xml:space="preserve">. </w:t>
      </w:r>
      <w:r w:rsidRPr="006A2D0F">
        <w:rPr>
          <w:b/>
          <w:bCs/>
          <w:sz w:val="20"/>
          <w:szCs w:val="20"/>
        </w:rPr>
        <w:t xml:space="preserve">Erlangen - Ratisbona – </w:t>
      </w:r>
      <w:r w:rsidR="00682877" w:rsidRPr="006A2D0F">
        <w:rPr>
          <w:b/>
          <w:bCs/>
          <w:sz w:val="20"/>
          <w:szCs w:val="20"/>
        </w:rPr>
        <w:t>Múnich</w:t>
      </w:r>
    </w:p>
    <w:p w:rsidR="00DF65B1" w:rsidRDefault="00DF65B1" w:rsidP="00D16F2E">
      <w:pPr>
        <w:jc w:val="both"/>
        <w:rPr>
          <w:sz w:val="20"/>
          <w:szCs w:val="20"/>
        </w:rPr>
      </w:pPr>
      <w:r w:rsidRPr="002D08DB">
        <w:rPr>
          <w:b/>
          <w:bCs/>
          <w:sz w:val="20"/>
          <w:szCs w:val="20"/>
        </w:rPr>
        <w:t>Desayuno</w:t>
      </w:r>
      <w:r w:rsidR="002D08DB" w:rsidRPr="002D08DB">
        <w:rPr>
          <w:b/>
          <w:bCs/>
          <w:sz w:val="20"/>
          <w:szCs w:val="20"/>
        </w:rPr>
        <w:t>.</w:t>
      </w:r>
      <w:r w:rsidR="002D08DB">
        <w:rPr>
          <w:sz w:val="20"/>
          <w:szCs w:val="20"/>
        </w:rPr>
        <w:t xml:space="preserve"> S</w:t>
      </w:r>
      <w:r w:rsidRPr="00DF65B1">
        <w:rPr>
          <w:sz w:val="20"/>
          <w:szCs w:val="20"/>
        </w:rPr>
        <w:t xml:space="preserve">alida hacia </w:t>
      </w:r>
      <w:proofErr w:type="spellStart"/>
      <w:r w:rsidRPr="00DF65B1">
        <w:rPr>
          <w:sz w:val="20"/>
          <w:szCs w:val="20"/>
        </w:rPr>
        <w:t>Munich</w:t>
      </w:r>
      <w:proofErr w:type="spellEnd"/>
      <w:r w:rsidRPr="00DF65B1">
        <w:rPr>
          <w:sz w:val="20"/>
          <w:szCs w:val="20"/>
        </w:rPr>
        <w:t xml:space="preserve">, pasando por la ciudad medieval de Ratisbona, Patrimonio de la Humanidad de la UNESCO con 2000 años de historia. El Puente de Piedra, su </w:t>
      </w:r>
      <w:proofErr w:type="spellStart"/>
      <w:r w:rsidRPr="00DF65B1">
        <w:rPr>
          <w:sz w:val="20"/>
          <w:szCs w:val="20"/>
        </w:rPr>
        <w:t>Krauterermarkt</w:t>
      </w:r>
      <w:proofErr w:type="spellEnd"/>
      <w:r w:rsidRPr="00DF65B1">
        <w:rPr>
          <w:sz w:val="20"/>
          <w:szCs w:val="20"/>
        </w:rPr>
        <w:t xml:space="preserve"> y la Colegiata de San Juan, el Museo del Tesoro de la Catedral, la Casa Patricia en el </w:t>
      </w:r>
      <w:proofErr w:type="spellStart"/>
      <w:r w:rsidRPr="00DF65B1">
        <w:rPr>
          <w:sz w:val="20"/>
          <w:szCs w:val="20"/>
        </w:rPr>
        <w:t>Heuport</w:t>
      </w:r>
      <w:proofErr w:type="spellEnd"/>
      <w:r w:rsidRPr="00DF65B1">
        <w:rPr>
          <w:sz w:val="20"/>
          <w:szCs w:val="20"/>
        </w:rPr>
        <w:t xml:space="preserve"> y la histórica Farmacia Adler se encuentran entre los monumentos más importantes de la ciudad. Tiempo libre para pasear por la ciudad vieja. Continuación a </w:t>
      </w:r>
      <w:r w:rsidR="00682877" w:rsidRPr="00DF65B1">
        <w:rPr>
          <w:sz w:val="20"/>
          <w:szCs w:val="20"/>
        </w:rPr>
        <w:t>Múnich</w:t>
      </w:r>
      <w:r w:rsidRPr="00DF65B1">
        <w:rPr>
          <w:sz w:val="20"/>
          <w:szCs w:val="20"/>
        </w:rPr>
        <w:t xml:space="preserve">. </w:t>
      </w:r>
      <w:r w:rsidRPr="00682877">
        <w:rPr>
          <w:b/>
          <w:bCs/>
          <w:sz w:val="20"/>
          <w:szCs w:val="20"/>
        </w:rPr>
        <w:t>Alojamiento.</w:t>
      </w:r>
      <w:r w:rsidRPr="00DF65B1">
        <w:rPr>
          <w:sz w:val="20"/>
          <w:szCs w:val="20"/>
        </w:rPr>
        <w:t xml:space="preserve"> </w:t>
      </w:r>
    </w:p>
    <w:p w:rsidR="0078532F" w:rsidRDefault="0078532F" w:rsidP="00D16F2E">
      <w:pPr>
        <w:jc w:val="both"/>
        <w:rPr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6</w:t>
      </w:r>
      <w:r w:rsidR="00D92FC2">
        <w:rPr>
          <w:b/>
          <w:bCs/>
          <w:sz w:val="20"/>
          <w:szCs w:val="20"/>
        </w:rPr>
        <w:t xml:space="preserve">. </w:t>
      </w:r>
      <w:r w:rsidR="006B65FA" w:rsidRPr="006A2D0F">
        <w:rPr>
          <w:b/>
          <w:bCs/>
          <w:sz w:val="20"/>
          <w:szCs w:val="20"/>
        </w:rPr>
        <w:t>Múnich</w:t>
      </w:r>
      <w:r w:rsidRPr="006A2D0F">
        <w:rPr>
          <w:b/>
          <w:bCs/>
          <w:sz w:val="20"/>
          <w:szCs w:val="20"/>
        </w:rPr>
        <w:t xml:space="preserve"> </w:t>
      </w:r>
    </w:p>
    <w:p w:rsidR="00DF65B1" w:rsidRDefault="00DF65B1" w:rsidP="00D16F2E">
      <w:pPr>
        <w:jc w:val="both"/>
        <w:rPr>
          <w:sz w:val="20"/>
          <w:szCs w:val="20"/>
        </w:rPr>
      </w:pPr>
      <w:r w:rsidRPr="006B65FA">
        <w:rPr>
          <w:b/>
          <w:bCs/>
          <w:sz w:val="20"/>
          <w:szCs w:val="20"/>
        </w:rPr>
        <w:t>Desayuno</w:t>
      </w:r>
      <w:r w:rsidR="006B65FA">
        <w:rPr>
          <w:b/>
          <w:bCs/>
          <w:sz w:val="20"/>
          <w:szCs w:val="20"/>
        </w:rPr>
        <w:t xml:space="preserve">. </w:t>
      </w:r>
      <w:r w:rsidR="006B65FA">
        <w:rPr>
          <w:sz w:val="20"/>
          <w:szCs w:val="20"/>
        </w:rPr>
        <w:t>V</w:t>
      </w:r>
      <w:r w:rsidRPr="00DF65B1">
        <w:rPr>
          <w:sz w:val="20"/>
          <w:szCs w:val="20"/>
        </w:rPr>
        <w:t xml:space="preserve">isita panorámica de la capital de Baviera a orillas del río Isar en el piedemonte septentrional de los Alpes. Destaca la Catedral de Nuestra Señora, austera construcción del gótico tardío, la </w:t>
      </w:r>
      <w:r w:rsidR="006B65FA" w:rsidRPr="00DF65B1">
        <w:rPr>
          <w:sz w:val="20"/>
          <w:szCs w:val="20"/>
        </w:rPr>
        <w:t>iglesia</w:t>
      </w:r>
      <w:r w:rsidRPr="00DF65B1">
        <w:rPr>
          <w:sz w:val="20"/>
          <w:szCs w:val="20"/>
        </w:rPr>
        <w:t xml:space="preserve"> gótica del Espíritu Santo, las Iglesias de San Miguel y de San </w:t>
      </w:r>
      <w:proofErr w:type="spellStart"/>
      <w:r w:rsidRPr="00DF65B1">
        <w:rPr>
          <w:sz w:val="20"/>
          <w:szCs w:val="20"/>
        </w:rPr>
        <w:t>Nepomuceo</w:t>
      </w:r>
      <w:proofErr w:type="spellEnd"/>
      <w:r w:rsidRPr="00DF65B1">
        <w:rPr>
          <w:sz w:val="20"/>
          <w:szCs w:val="20"/>
        </w:rPr>
        <w:t xml:space="preserve">. Tarde libre y alojamiento en </w:t>
      </w:r>
      <w:r w:rsidR="006B65FA" w:rsidRPr="00DF65B1">
        <w:rPr>
          <w:sz w:val="20"/>
          <w:szCs w:val="20"/>
        </w:rPr>
        <w:t>Múnich</w:t>
      </w:r>
      <w:r w:rsidRPr="00DF65B1">
        <w:rPr>
          <w:sz w:val="20"/>
          <w:szCs w:val="20"/>
        </w:rPr>
        <w:t>.</w:t>
      </w:r>
    </w:p>
    <w:p w:rsidR="0067039B" w:rsidRDefault="0067039B" w:rsidP="00D16F2E">
      <w:pPr>
        <w:jc w:val="both"/>
        <w:rPr>
          <w:b/>
          <w:bCs/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7</w:t>
      </w:r>
      <w:r w:rsidR="00D92FC2">
        <w:rPr>
          <w:b/>
          <w:bCs/>
          <w:sz w:val="20"/>
          <w:szCs w:val="20"/>
        </w:rPr>
        <w:t xml:space="preserve">. </w:t>
      </w:r>
      <w:r w:rsidR="00E13306" w:rsidRPr="006A2D0F">
        <w:rPr>
          <w:b/>
          <w:bCs/>
          <w:sz w:val="20"/>
          <w:szCs w:val="20"/>
        </w:rPr>
        <w:t>Múnich</w:t>
      </w:r>
      <w:r w:rsidRPr="006A2D0F">
        <w:rPr>
          <w:b/>
          <w:bCs/>
          <w:sz w:val="20"/>
          <w:szCs w:val="20"/>
        </w:rPr>
        <w:t xml:space="preserve"> - </w:t>
      </w:r>
      <w:proofErr w:type="spellStart"/>
      <w:r w:rsidRPr="006A2D0F">
        <w:rPr>
          <w:b/>
          <w:bCs/>
          <w:sz w:val="20"/>
          <w:szCs w:val="20"/>
        </w:rPr>
        <w:t>Neuschwanstein</w:t>
      </w:r>
      <w:proofErr w:type="spellEnd"/>
      <w:r w:rsidRPr="006A2D0F">
        <w:rPr>
          <w:b/>
          <w:bCs/>
          <w:sz w:val="20"/>
          <w:szCs w:val="20"/>
        </w:rPr>
        <w:t xml:space="preserve"> – </w:t>
      </w:r>
      <w:r w:rsidR="00E13306" w:rsidRPr="006A2D0F">
        <w:rPr>
          <w:b/>
          <w:bCs/>
          <w:sz w:val="20"/>
          <w:szCs w:val="20"/>
        </w:rPr>
        <w:t>Múnich</w:t>
      </w:r>
    </w:p>
    <w:p w:rsidR="00DF65B1" w:rsidRDefault="00DF65B1" w:rsidP="00D16F2E">
      <w:pPr>
        <w:jc w:val="both"/>
        <w:rPr>
          <w:sz w:val="20"/>
          <w:szCs w:val="20"/>
        </w:rPr>
      </w:pPr>
      <w:r w:rsidRPr="00E13306">
        <w:rPr>
          <w:b/>
          <w:bCs/>
          <w:sz w:val="20"/>
          <w:szCs w:val="20"/>
        </w:rPr>
        <w:t>Desayuno</w:t>
      </w:r>
      <w:r w:rsidR="00E13306">
        <w:rPr>
          <w:sz w:val="20"/>
          <w:szCs w:val="20"/>
        </w:rPr>
        <w:t>. A</w:t>
      </w:r>
      <w:r w:rsidRPr="00DF65B1">
        <w:rPr>
          <w:sz w:val="20"/>
          <w:szCs w:val="20"/>
        </w:rPr>
        <w:t xml:space="preserve"> </w:t>
      </w:r>
      <w:r w:rsidR="00E13306" w:rsidRPr="00DF65B1">
        <w:rPr>
          <w:sz w:val="20"/>
          <w:szCs w:val="20"/>
        </w:rPr>
        <w:t>continuación,</w:t>
      </w:r>
      <w:r w:rsidRPr="00DF65B1">
        <w:rPr>
          <w:sz w:val="20"/>
          <w:szCs w:val="20"/>
        </w:rPr>
        <w:t xml:space="preserve"> visita </w:t>
      </w:r>
      <w:r w:rsidR="00E13306">
        <w:rPr>
          <w:sz w:val="20"/>
          <w:szCs w:val="20"/>
        </w:rPr>
        <w:t>d</w:t>
      </w:r>
      <w:r w:rsidRPr="00DF65B1">
        <w:rPr>
          <w:sz w:val="20"/>
          <w:szCs w:val="20"/>
        </w:rPr>
        <w:t xml:space="preserve">el Castillo </w:t>
      </w:r>
      <w:proofErr w:type="spellStart"/>
      <w:r w:rsidRPr="00DF65B1">
        <w:rPr>
          <w:sz w:val="20"/>
          <w:szCs w:val="20"/>
        </w:rPr>
        <w:t>Neuschwanstein</w:t>
      </w:r>
      <w:proofErr w:type="spellEnd"/>
      <w:r w:rsidRPr="00DF65B1">
        <w:rPr>
          <w:sz w:val="20"/>
          <w:szCs w:val="20"/>
        </w:rPr>
        <w:t xml:space="preserve">, construido por el rey Luis II de Baviera, más conocido por su apodo de “el Rey Loco”. La construcción se inspiraba en los castillos medievales de los «Caballeros Teutónicos» y sus salones aluden a mitos, fábulas y leyendas. A continuación visita del Palacio de </w:t>
      </w:r>
      <w:proofErr w:type="spellStart"/>
      <w:r w:rsidRPr="00DF65B1">
        <w:rPr>
          <w:sz w:val="20"/>
          <w:szCs w:val="20"/>
        </w:rPr>
        <w:t>Linderhof</w:t>
      </w:r>
      <w:proofErr w:type="spellEnd"/>
      <w:r w:rsidRPr="00DF65B1">
        <w:rPr>
          <w:sz w:val="20"/>
          <w:szCs w:val="20"/>
        </w:rPr>
        <w:t xml:space="preserve">, el más pequeño de los tres palacios construidos por Luis II de Baviera, que pretendía emular al Castillo de Versalles. Por lo tarde continuación del viaje a </w:t>
      </w:r>
      <w:proofErr w:type="spellStart"/>
      <w:r w:rsidRPr="00DF65B1">
        <w:rPr>
          <w:sz w:val="20"/>
          <w:szCs w:val="20"/>
        </w:rPr>
        <w:t>Oberammergau</w:t>
      </w:r>
      <w:proofErr w:type="spellEnd"/>
      <w:r w:rsidRPr="00DF65B1">
        <w:rPr>
          <w:sz w:val="20"/>
          <w:szCs w:val="20"/>
        </w:rPr>
        <w:t xml:space="preserve">, célebre por su auto de la Pasión que data de 1633 que se representa cada 10 </w:t>
      </w:r>
      <w:r w:rsidRPr="00DF65B1">
        <w:rPr>
          <w:sz w:val="20"/>
          <w:szCs w:val="20"/>
        </w:rPr>
        <w:lastRenderedPageBreak/>
        <w:t xml:space="preserve">años. Visitamos igualmente a continuación la </w:t>
      </w:r>
      <w:r w:rsidR="004C314E" w:rsidRPr="00DF65B1">
        <w:rPr>
          <w:sz w:val="20"/>
          <w:szCs w:val="20"/>
        </w:rPr>
        <w:t>abadía</w:t>
      </w:r>
      <w:r w:rsidRPr="00DF65B1">
        <w:rPr>
          <w:sz w:val="20"/>
          <w:szCs w:val="20"/>
        </w:rPr>
        <w:t xml:space="preserve"> benedictina de </w:t>
      </w:r>
      <w:proofErr w:type="spellStart"/>
      <w:r w:rsidRPr="00DF65B1">
        <w:rPr>
          <w:sz w:val="20"/>
          <w:szCs w:val="20"/>
        </w:rPr>
        <w:t>Ettal</w:t>
      </w:r>
      <w:proofErr w:type="spellEnd"/>
      <w:r w:rsidRPr="00DF65B1">
        <w:rPr>
          <w:sz w:val="20"/>
          <w:szCs w:val="20"/>
        </w:rPr>
        <w:t xml:space="preserve">, fundada por la Casa de </w:t>
      </w:r>
      <w:proofErr w:type="spellStart"/>
      <w:r w:rsidRPr="00DF65B1">
        <w:rPr>
          <w:sz w:val="20"/>
          <w:szCs w:val="20"/>
        </w:rPr>
        <w:t>Wittelsbacher</w:t>
      </w:r>
      <w:proofErr w:type="spellEnd"/>
      <w:r w:rsidRPr="00DF65B1">
        <w:rPr>
          <w:sz w:val="20"/>
          <w:szCs w:val="20"/>
        </w:rPr>
        <w:t xml:space="preserve">. </w:t>
      </w:r>
      <w:r w:rsidRPr="00042242">
        <w:rPr>
          <w:b/>
          <w:bCs/>
          <w:sz w:val="20"/>
          <w:szCs w:val="20"/>
        </w:rPr>
        <w:t>Alojamiento</w:t>
      </w:r>
      <w:r w:rsidR="004C314E" w:rsidRPr="00042242">
        <w:rPr>
          <w:b/>
          <w:bCs/>
          <w:sz w:val="20"/>
          <w:szCs w:val="20"/>
        </w:rPr>
        <w:t>.</w:t>
      </w:r>
      <w:r w:rsidR="004C314E">
        <w:rPr>
          <w:sz w:val="20"/>
          <w:szCs w:val="20"/>
        </w:rPr>
        <w:t xml:space="preserve"> </w:t>
      </w:r>
    </w:p>
    <w:p w:rsidR="00E13306" w:rsidRDefault="00E13306" w:rsidP="00D16F2E">
      <w:pPr>
        <w:jc w:val="both"/>
        <w:rPr>
          <w:b/>
          <w:bCs/>
          <w:sz w:val="20"/>
          <w:szCs w:val="20"/>
        </w:rPr>
      </w:pPr>
    </w:p>
    <w:p w:rsidR="00594329" w:rsidRPr="006A2D0F" w:rsidRDefault="006A2D0F" w:rsidP="00D16F2E">
      <w:pPr>
        <w:jc w:val="both"/>
        <w:rPr>
          <w:b/>
          <w:bCs/>
          <w:sz w:val="20"/>
          <w:szCs w:val="20"/>
        </w:rPr>
      </w:pPr>
      <w:r w:rsidRPr="006A2D0F">
        <w:rPr>
          <w:b/>
          <w:bCs/>
          <w:sz w:val="20"/>
          <w:szCs w:val="20"/>
        </w:rPr>
        <w:t>Día 8</w:t>
      </w:r>
      <w:r w:rsidR="00D92FC2">
        <w:rPr>
          <w:b/>
          <w:bCs/>
          <w:sz w:val="20"/>
          <w:szCs w:val="20"/>
        </w:rPr>
        <w:t xml:space="preserve">. </w:t>
      </w:r>
      <w:r w:rsidR="005D07C4" w:rsidRPr="006A2D0F">
        <w:rPr>
          <w:b/>
          <w:bCs/>
          <w:sz w:val="20"/>
          <w:szCs w:val="20"/>
        </w:rPr>
        <w:t>Múnich</w:t>
      </w:r>
      <w:r w:rsidRPr="006A2D0F">
        <w:rPr>
          <w:b/>
          <w:bCs/>
          <w:sz w:val="20"/>
          <w:szCs w:val="20"/>
        </w:rPr>
        <w:t xml:space="preserve"> </w:t>
      </w:r>
    </w:p>
    <w:p w:rsidR="00511A66" w:rsidRPr="00DF65B1" w:rsidRDefault="00DF65B1" w:rsidP="00D16F2E">
      <w:pPr>
        <w:jc w:val="both"/>
        <w:rPr>
          <w:b/>
          <w:sz w:val="20"/>
          <w:szCs w:val="20"/>
        </w:rPr>
      </w:pPr>
      <w:r w:rsidRPr="005D07C4">
        <w:rPr>
          <w:b/>
          <w:bCs/>
          <w:sz w:val="20"/>
          <w:szCs w:val="20"/>
        </w:rPr>
        <w:t>Desayuno</w:t>
      </w:r>
      <w:r w:rsidR="005D07C4">
        <w:rPr>
          <w:sz w:val="20"/>
          <w:szCs w:val="20"/>
        </w:rPr>
        <w:t xml:space="preserve">. </w:t>
      </w:r>
      <w:r w:rsidRPr="00DF65B1">
        <w:rPr>
          <w:sz w:val="20"/>
          <w:szCs w:val="20"/>
        </w:rPr>
        <w:t>(el traslado al aeropuerto no está incluido).</w:t>
      </w:r>
    </w:p>
    <w:p w:rsidR="005D07C4" w:rsidRDefault="005D07C4" w:rsidP="001732DB">
      <w:pPr>
        <w:rPr>
          <w:b/>
          <w:sz w:val="20"/>
          <w:szCs w:val="20"/>
        </w:rPr>
      </w:pPr>
    </w:p>
    <w:p w:rsidR="001732DB" w:rsidRDefault="001732DB" w:rsidP="001732D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82072A" w:rsidRDefault="0082072A" w:rsidP="004E3EBB">
      <w:pPr>
        <w:rPr>
          <w:sz w:val="20"/>
          <w:szCs w:val="20"/>
          <w:lang w:val="es-ES"/>
        </w:rPr>
      </w:pPr>
    </w:p>
    <w:p w:rsidR="004574C3" w:rsidRDefault="004574C3" w:rsidP="001732DB">
      <w:pPr>
        <w:jc w:val="center"/>
        <w:rPr>
          <w:sz w:val="20"/>
          <w:szCs w:val="20"/>
          <w:lang w:val="es-ES"/>
        </w:rPr>
      </w:pPr>
    </w:p>
    <w:p w:rsidR="001732DB" w:rsidRPr="00B56B0D" w:rsidRDefault="001732DB" w:rsidP="001732D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2AAB" wp14:editId="5230A1E2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BAC" w:rsidRPr="00F74623" w:rsidRDefault="00991BAC" w:rsidP="001732D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B2AAB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991BAC" w:rsidRPr="00F74623" w:rsidRDefault="00991BAC" w:rsidP="001732D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32DB" w:rsidRPr="00B56B0D" w:rsidRDefault="001732DB" w:rsidP="001732DB">
      <w:pPr>
        <w:rPr>
          <w:sz w:val="20"/>
          <w:szCs w:val="20"/>
          <w:lang w:val="es-ES"/>
        </w:rPr>
      </w:pPr>
    </w:p>
    <w:p w:rsidR="001732DB" w:rsidRPr="004E3EBB" w:rsidRDefault="00C97736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732DB" w:rsidRPr="004E3EBB">
        <w:rPr>
          <w:sz w:val="20"/>
          <w:szCs w:val="20"/>
        </w:rPr>
        <w:t xml:space="preserve"> noches de alojamiento en</w:t>
      </w:r>
      <w:r>
        <w:rPr>
          <w:sz w:val="20"/>
          <w:szCs w:val="20"/>
        </w:rPr>
        <w:t xml:space="preserve"> Frankfurt</w:t>
      </w:r>
      <w:r w:rsidR="001732DB" w:rsidRPr="004E3EBB">
        <w:rPr>
          <w:sz w:val="20"/>
          <w:szCs w:val="20"/>
        </w:rPr>
        <w:t>, 1 en</w:t>
      </w:r>
      <w:r>
        <w:rPr>
          <w:sz w:val="20"/>
          <w:szCs w:val="20"/>
        </w:rPr>
        <w:t xml:space="preserve"> Heidelberg</w:t>
      </w:r>
      <w:r w:rsidR="001732DB" w:rsidRPr="004E3EBB">
        <w:rPr>
          <w:sz w:val="20"/>
          <w:szCs w:val="20"/>
        </w:rPr>
        <w:t xml:space="preserve">, </w:t>
      </w:r>
      <w:r w:rsidR="00213DF7">
        <w:rPr>
          <w:sz w:val="20"/>
          <w:szCs w:val="20"/>
        </w:rPr>
        <w:t>2</w:t>
      </w:r>
      <w:r w:rsidR="001732DB" w:rsidRPr="004E3EBB">
        <w:rPr>
          <w:sz w:val="20"/>
          <w:szCs w:val="20"/>
        </w:rPr>
        <w:t xml:space="preserve"> en</w:t>
      </w:r>
      <w:r w:rsidR="00216E36">
        <w:rPr>
          <w:sz w:val="20"/>
          <w:szCs w:val="20"/>
        </w:rPr>
        <w:t xml:space="preserve"> Erlangen</w:t>
      </w:r>
      <w:r w:rsidR="00213DF7">
        <w:rPr>
          <w:sz w:val="20"/>
          <w:szCs w:val="20"/>
        </w:rPr>
        <w:t xml:space="preserve"> </w:t>
      </w:r>
      <w:r w:rsidR="001732DB" w:rsidRPr="004E3EBB">
        <w:rPr>
          <w:sz w:val="20"/>
          <w:szCs w:val="20"/>
        </w:rPr>
        <w:t xml:space="preserve">y </w:t>
      </w:r>
      <w:r w:rsidR="00216E36">
        <w:rPr>
          <w:sz w:val="20"/>
          <w:szCs w:val="20"/>
        </w:rPr>
        <w:t>3</w:t>
      </w:r>
      <w:r w:rsidR="001732DB" w:rsidRPr="004E3EBB">
        <w:rPr>
          <w:sz w:val="20"/>
          <w:szCs w:val="20"/>
        </w:rPr>
        <w:t xml:space="preserve"> en </w:t>
      </w:r>
      <w:r w:rsidR="004246BE">
        <w:rPr>
          <w:sz w:val="20"/>
          <w:szCs w:val="20"/>
        </w:rPr>
        <w:t>Múnich</w:t>
      </w:r>
      <w:r w:rsidR="00213DF7">
        <w:rPr>
          <w:sz w:val="20"/>
          <w:szCs w:val="20"/>
        </w:rPr>
        <w:t>.</w:t>
      </w:r>
    </w:p>
    <w:p w:rsidR="001732DB" w:rsidRPr="00085DFB" w:rsidRDefault="004E392A" w:rsidP="00085DF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732DB" w:rsidRPr="004E3EBB">
        <w:rPr>
          <w:sz w:val="20"/>
          <w:szCs w:val="20"/>
        </w:rPr>
        <w:t xml:space="preserve"> desayunos </w:t>
      </w:r>
    </w:p>
    <w:p w:rsidR="001732DB" w:rsidRPr="004E3EB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4E3EBB">
        <w:rPr>
          <w:sz w:val="20"/>
          <w:szCs w:val="20"/>
        </w:rPr>
        <w:t>Visitas según itinerario en servicio compartido.</w:t>
      </w:r>
    </w:p>
    <w:p w:rsidR="001732DB" w:rsidRPr="004E3EB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4E3EBB">
        <w:rPr>
          <w:sz w:val="20"/>
          <w:szCs w:val="20"/>
        </w:rPr>
        <w:t>Transporte en autocar y guía de habla hispana durante su recorrido.</w:t>
      </w:r>
    </w:p>
    <w:p w:rsidR="006D0786" w:rsidRPr="00F94F2D" w:rsidRDefault="006D0786" w:rsidP="001732DB">
      <w:pPr>
        <w:rPr>
          <w:b/>
          <w:sz w:val="20"/>
          <w:szCs w:val="20"/>
          <w:highlight w:val="yellow"/>
        </w:rPr>
      </w:pPr>
    </w:p>
    <w:p w:rsidR="001732DB" w:rsidRPr="00F11701" w:rsidRDefault="001732DB" w:rsidP="001732DB">
      <w:pPr>
        <w:ind w:left="142"/>
        <w:rPr>
          <w:b/>
        </w:rPr>
      </w:pPr>
      <w:r w:rsidRPr="00F11701">
        <w:rPr>
          <w:b/>
        </w:rPr>
        <w:t>NO Incluye</w:t>
      </w:r>
    </w:p>
    <w:p w:rsidR="001732D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11701">
        <w:rPr>
          <w:sz w:val="20"/>
          <w:szCs w:val="20"/>
        </w:rPr>
        <w:t>Vuelos internacionales y domésticos</w:t>
      </w:r>
    </w:p>
    <w:p w:rsidR="00085DFB" w:rsidRPr="00F11701" w:rsidRDefault="00085DF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E3EBB">
        <w:rPr>
          <w:sz w:val="20"/>
          <w:szCs w:val="20"/>
        </w:rPr>
        <w:t>Traslados aeropuerto</w:t>
      </w:r>
      <w:r>
        <w:rPr>
          <w:sz w:val="20"/>
          <w:szCs w:val="20"/>
        </w:rPr>
        <w:t xml:space="preserve"> </w:t>
      </w:r>
      <w:r w:rsidRPr="004E3EBB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E3EBB">
        <w:rPr>
          <w:sz w:val="20"/>
          <w:szCs w:val="20"/>
        </w:rPr>
        <w:t>hotel</w:t>
      </w:r>
      <w:r>
        <w:rPr>
          <w:sz w:val="20"/>
          <w:szCs w:val="20"/>
        </w:rPr>
        <w:t xml:space="preserve"> / </w:t>
      </w:r>
      <w:r w:rsidRPr="004E3EBB">
        <w:rPr>
          <w:sz w:val="20"/>
          <w:szCs w:val="20"/>
        </w:rPr>
        <w:t>aeropuerto</w:t>
      </w:r>
    </w:p>
    <w:p w:rsidR="001732DB" w:rsidRPr="00F1170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11701">
        <w:rPr>
          <w:sz w:val="20"/>
          <w:szCs w:val="20"/>
        </w:rPr>
        <w:t>Excursiones opcionales</w:t>
      </w:r>
    </w:p>
    <w:p w:rsidR="001732DB" w:rsidRPr="00F1170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11701">
        <w:rPr>
          <w:sz w:val="20"/>
          <w:szCs w:val="20"/>
        </w:rPr>
        <w:t>Bebidas en las comidas mencionadas</w:t>
      </w:r>
    </w:p>
    <w:p w:rsidR="001732DB" w:rsidRPr="00F1170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11701">
        <w:rPr>
          <w:sz w:val="20"/>
          <w:szCs w:val="20"/>
        </w:rPr>
        <w:t>Ningún servicio no especificado</w:t>
      </w:r>
      <w:r w:rsidR="00807831" w:rsidRPr="00F11701">
        <w:rPr>
          <w:noProof/>
        </w:rPr>
        <w:t xml:space="preserve"> </w:t>
      </w:r>
    </w:p>
    <w:p w:rsidR="001732DB" w:rsidRPr="00F1170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11701">
        <w:rPr>
          <w:sz w:val="20"/>
          <w:szCs w:val="20"/>
        </w:rPr>
        <w:t>Gastos personales</w:t>
      </w:r>
    </w:p>
    <w:p w:rsidR="001732DB" w:rsidRPr="00F1170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F11701">
        <w:rPr>
          <w:sz w:val="20"/>
          <w:szCs w:val="20"/>
        </w:rPr>
        <w:t>Propinas</w:t>
      </w:r>
    </w:p>
    <w:p w:rsidR="001732DB" w:rsidRPr="00F1170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11701">
        <w:rPr>
          <w:sz w:val="20"/>
          <w:szCs w:val="20"/>
        </w:rPr>
        <w:t xml:space="preserve">Seguro de asistencia en viaje con cobertura COVID </w:t>
      </w:r>
    </w:p>
    <w:p w:rsidR="001732DB" w:rsidRPr="00F94F2D" w:rsidRDefault="001732DB" w:rsidP="001732DB">
      <w:pPr>
        <w:rPr>
          <w:rFonts w:eastAsia="Calibri" w:cs="Tahoma"/>
          <w:b/>
          <w:color w:val="000000" w:themeColor="text1"/>
          <w:highlight w:val="yellow"/>
        </w:rPr>
      </w:pPr>
    </w:p>
    <w:p w:rsidR="00C25BB5" w:rsidRPr="006D0786" w:rsidRDefault="00C25BB5" w:rsidP="006D0786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tbl>
      <w:tblPr>
        <w:tblW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07"/>
      </w:tblGrid>
      <w:tr w:rsidR="001732DB" w:rsidRPr="001732DB" w:rsidTr="001B69C3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1732DB" w:rsidRPr="001732DB" w:rsidRDefault="00996B7D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Domingos </w:t>
            </w:r>
          </w:p>
        </w:tc>
      </w:tr>
      <w:tr w:rsidR="001B69C3" w:rsidRPr="001732DB" w:rsidTr="001B69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9C3" w:rsidRPr="001732DB" w:rsidRDefault="002627B6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Abril </w:t>
            </w:r>
            <w:r w:rsidR="001B6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3" w:rsidRPr="001732DB" w:rsidRDefault="002627B6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3" w:rsidRPr="001732DB" w:rsidRDefault="001B69C3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9C3" w:rsidRPr="001732DB" w:rsidRDefault="001B69C3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1B69C3" w:rsidRPr="001732DB" w:rsidTr="001B69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9C3" w:rsidRPr="001732DB" w:rsidRDefault="002627B6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Mayo </w:t>
            </w:r>
            <w:r w:rsidR="001B6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C3" w:rsidRPr="001732DB" w:rsidRDefault="00941856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9C3" w:rsidRPr="001732DB" w:rsidRDefault="00941856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9C3" w:rsidRPr="001732DB" w:rsidRDefault="001B69C3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1B69C3" w:rsidRPr="001732DB" w:rsidTr="002627B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9C3" w:rsidRPr="001732DB" w:rsidRDefault="002627B6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Junio </w:t>
            </w:r>
            <w:r w:rsidR="001B6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3" w:rsidRPr="001732DB" w:rsidRDefault="00941856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3" w:rsidRPr="001732DB" w:rsidRDefault="00941856" w:rsidP="008A116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9C3" w:rsidRPr="001732DB" w:rsidRDefault="001B69C3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7B6" w:rsidRPr="001732DB" w:rsidTr="002627B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7B6" w:rsidRDefault="002627B6" w:rsidP="002627B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7B6" w:rsidRDefault="00941856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7B6" w:rsidRPr="001732DB" w:rsidRDefault="00941856" w:rsidP="002627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7B6" w:rsidRPr="001732DB" w:rsidRDefault="002627B6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7B6" w:rsidRPr="001732DB" w:rsidTr="002627B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7B6" w:rsidRDefault="002627B6" w:rsidP="002627B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7B6" w:rsidRDefault="00941856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7B6" w:rsidRPr="001732DB" w:rsidRDefault="00941856" w:rsidP="002627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7B6" w:rsidRPr="001732DB" w:rsidRDefault="002627B6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7B6" w:rsidRPr="001732DB" w:rsidTr="0094185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7B6" w:rsidRDefault="00941856" w:rsidP="002627B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Septiembre </w:t>
            </w:r>
            <w:r w:rsidR="00262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7B6" w:rsidRDefault="00676229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7B6" w:rsidRPr="001732DB" w:rsidRDefault="00676229" w:rsidP="002627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7B6" w:rsidRPr="001732DB" w:rsidRDefault="002627B6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41856" w:rsidRPr="001732DB" w:rsidTr="001B69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856" w:rsidRDefault="00941856" w:rsidP="002627B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856" w:rsidRDefault="00676229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856" w:rsidRPr="001732DB" w:rsidRDefault="00941856" w:rsidP="002627B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856" w:rsidRPr="001732DB" w:rsidRDefault="00941856" w:rsidP="002627B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2627B6" w:rsidRDefault="002627B6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B34460" w:rsidRDefault="00B34460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B34460" w:rsidRDefault="00B34460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927"/>
        <w:gridCol w:w="1276"/>
      </w:tblGrid>
      <w:tr w:rsidR="00B34460" w:rsidRPr="00B34460" w:rsidTr="00B34460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B34460" w:rsidRPr="00B34460" w:rsidTr="00B34460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34460" w:rsidRPr="00B34460" w:rsidRDefault="00B34460" w:rsidP="00B3446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</w:t>
            </w:r>
            <w:r w:rsidR="00BB6DB1" w:rsidRPr="00B344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(</w:t>
            </w:r>
            <w:r w:rsidRPr="00B344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B34460" w:rsidRPr="00B34460" w:rsidTr="00B34460">
        <w:trPr>
          <w:trHeight w:val="315"/>
        </w:trPr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34460" w:rsidRPr="00B34460" w:rsidRDefault="00B34460" w:rsidP="00B3446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20 Abril - 1</w:t>
            </w:r>
            <w:r w:rsidR="005821E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5</w:t>
            </w:r>
            <w:r w:rsidRPr="00B344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Octubre 2024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B34460" w:rsidRPr="00B34460" w:rsidTr="00B34460">
        <w:trPr>
          <w:trHeight w:val="315"/>
        </w:trPr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4460" w:rsidRPr="00B34460" w:rsidRDefault="00B34460" w:rsidP="00B3446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2395</w:t>
            </w:r>
          </w:p>
        </w:tc>
      </w:tr>
      <w:tr w:rsidR="00B34460" w:rsidRPr="00B34460" w:rsidTr="00B34460">
        <w:trPr>
          <w:trHeight w:val="3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60" w:rsidRPr="00B34460" w:rsidRDefault="00B34460" w:rsidP="00B3446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Munich</w:t>
            </w:r>
            <w:proofErr w:type="spellEnd"/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: 22 </w:t>
            </w:r>
            <w:r w:rsidR="00BC4EE4"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septiembre</w:t>
            </w:r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150</w:t>
            </w:r>
          </w:p>
        </w:tc>
      </w:tr>
      <w:tr w:rsidR="00B34460" w:rsidRPr="00B34460" w:rsidTr="00B34460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</w:t>
            </w:r>
            <w:r w:rsidR="006D08AF" w:rsidRPr="00B344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CAMBIO SIN</w:t>
            </w:r>
            <w:r w:rsidRPr="00B344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 PREVIO AVISO </w:t>
            </w:r>
          </w:p>
        </w:tc>
      </w:tr>
      <w:tr w:rsidR="00B34460" w:rsidRPr="00B34460" w:rsidTr="00B34460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34460" w:rsidRPr="00B34460" w:rsidRDefault="00B34460" w:rsidP="00B3446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344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97736" w:rsidRDefault="00C97736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C97736" w:rsidRDefault="00C97736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C97736" w:rsidRDefault="00C97736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C97736" w:rsidRDefault="00C97736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BB6DB1" w:rsidRDefault="00BB6DB1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BB6DB1" w:rsidRDefault="00BB6DB1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C97736" w:rsidRDefault="00C97736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F11701" w:rsidRDefault="00F11701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5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119"/>
        <w:gridCol w:w="3004"/>
      </w:tblGrid>
      <w:tr w:rsidR="001732DB" w:rsidRPr="001732DB" w:rsidTr="00A204B4">
        <w:trPr>
          <w:trHeight w:val="285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732DB" w:rsidRPr="001732DB" w:rsidTr="00996B7D">
        <w:trPr>
          <w:trHeight w:val="28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1732DB" w:rsidRPr="001732DB" w:rsidTr="00996B7D">
        <w:trPr>
          <w:trHeight w:val="28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  <w:r w:rsidR="00E31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SUPERIOR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F94F2D" w:rsidRDefault="00A204B4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1732DB" w:rsidRDefault="00A204B4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Marriott</w:t>
            </w:r>
          </w:p>
        </w:tc>
      </w:tr>
      <w:tr w:rsidR="001732DB" w:rsidRPr="001732DB" w:rsidTr="00996B7D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F94F2D" w:rsidRDefault="00A204B4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Heilderberg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1732DB" w:rsidRDefault="00F94F2D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</w:t>
            </w:r>
            <w:r w:rsidR="00A204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arriortt</w:t>
            </w:r>
            <w:proofErr w:type="spellEnd"/>
          </w:p>
        </w:tc>
      </w:tr>
      <w:tr w:rsidR="001732DB" w:rsidRPr="001732DB" w:rsidTr="00996B7D">
        <w:trPr>
          <w:trHeight w:val="27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F94F2D" w:rsidRDefault="00A204B4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Erlangen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1732DB" w:rsidRDefault="00A204B4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Bayrischer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Hof</w:t>
            </w:r>
            <w:proofErr w:type="spellEnd"/>
          </w:p>
        </w:tc>
      </w:tr>
      <w:tr w:rsidR="001732DB" w:rsidRPr="001732DB" w:rsidTr="00996B7D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F94F2D" w:rsidRDefault="007F5F05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Múnich</w:t>
            </w:r>
            <w:r w:rsidR="00A204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2DB" w:rsidRPr="001732DB" w:rsidRDefault="00A204B4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Westin Grand </w:t>
            </w:r>
          </w:p>
        </w:tc>
      </w:tr>
    </w:tbl>
    <w:p w:rsidR="000173BC" w:rsidRDefault="000173BC" w:rsidP="001732DB">
      <w:pPr>
        <w:tabs>
          <w:tab w:val="left" w:pos="851"/>
        </w:tabs>
        <w:rPr>
          <w:sz w:val="20"/>
          <w:szCs w:val="20"/>
          <w:lang w:val="en-US"/>
        </w:rPr>
      </w:pPr>
    </w:p>
    <w:p w:rsidR="004502D4" w:rsidRDefault="004502D4" w:rsidP="004502D4">
      <w:pPr>
        <w:tabs>
          <w:tab w:val="left" w:pos="851"/>
        </w:tabs>
        <w:rPr>
          <w:sz w:val="20"/>
          <w:szCs w:val="20"/>
          <w:lang w:val="en-US"/>
        </w:rPr>
      </w:pPr>
    </w:p>
    <w:p w:rsidR="004502D4" w:rsidRDefault="004502D4" w:rsidP="004502D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502D4" w:rsidRPr="00FC19E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4502D4" w:rsidRPr="00FC19E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4502D4" w:rsidRPr="00FC19E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4502D4" w:rsidRPr="00FC19E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4502D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4502D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093608" w:rsidRPr="00FC19E4" w:rsidRDefault="00093608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incluyen los traslados: aeropuerto – hotel – aeropuerto. </w:t>
      </w:r>
    </w:p>
    <w:p w:rsidR="004502D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11 años pagan como adulto. </w:t>
      </w:r>
    </w:p>
    <w:p w:rsidR="004502D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Pueden entrar solo tres personas solamente en la habitación, (3adt o 2adt +1mnr).</w:t>
      </w:r>
    </w:p>
    <w:p w:rsidR="004502D4" w:rsidRPr="00B473CA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4502D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4502D4" w:rsidRDefault="004502D4" w:rsidP="004502D4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4502D4" w:rsidRDefault="004502D4" w:rsidP="004502D4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502D4" w:rsidRDefault="004502D4" w:rsidP="004502D4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65E57" w:rsidRPr="004502D4" w:rsidRDefault="00465E57" w:rsidP="004502D4">
      <w:pPr>
        <w:tabs>
          <w:tab w:val="left" w:pos="851"/>
        </w:tabs>
        <w:jc w:val="both"/>
        <w:rPr>
          <w:sz w:val="20"/>
          <w:szCs w:val="20"/>
          <w:highlight w:val="yellow"/>
        </w:rPr>
      </w:pPr>
    </w:p>
    <w:sectPr w:rsidR="00465E57" w:rsidRPr="004502D4" w:rsidSect="008255AB">
      <w:headerReference w:type="default" r:id="rId8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3" w:rsidRDefault="002C4E53" w:rsidP="00A771DB">
      <w:r>
        <w:separator/>
      </w:r>
    </w:p>
  </w:endnote>
  <w:endnote w:type="continuationSeparator" w:id="0">
    <w:p w:rsidR="002C4E53" w:rsidRDefault="002C4E5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3" w:rsidRDefault="002C4E53" w:rsidP="00A771DB">
      <w:r>
        <w:separator/>
      </w:r>
    </w:p>
  </w:footnote>
  <w:footnote w:type="continuationSeparator" w:id="0">
    <w:p w:rsidR="002C4E53" w:rsidRDefault="002C4E5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AC" w:rsidRDefault="00991B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593AA5B" wp14:editId="6CFB636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3420"/>
    <w:rsid w:val="000166CA"/>
    <w:rsid w:val="000173BC"/>
    <w:rsid w:val="00020FF3"/>
    <w:rsid w:val="00024125"/>
    <w:rsid w:val="0003238D"/>
    <w:rsid w:val="00037437"/>
    <w:rsid w:val="000402E3"/>
    <w:rsid w:val="00042242"/>
    <w:rsid w:val="00053B30"/>
    <w:rsid w:val="0007162D"/>
    <w:rsid w:val="0007553D"/>
    <w:rsid w:val="00076C04"/>
    <w:rsid w:val="00077268"/>
    <w:rsid w:val="00081FAF"/>
    <w:rsid w:val="0008526B"/>
    <w:rsid w:val="00085DFB"/>
    <w:rsid w:val="00086ED4"/>
    <w:rsid w:val="00093608"/>
    <w:rsid w:val="000C0AB7"/>
    <w:rsid w:val="000C51EB"/>
    <w:rsid w:val="000C592E"/>
    <w:rsid w:val="000E09B4"/>
    <w:rsid w:val="000E7D7D"/>
    <w:rsid w:val="000F342A"/>
    <w:rsid w:val="00101FE9"/>
    <w:rsid w:val="0013160C"/>
    <w:rsid w:val="001400EE"/>
    <w:rsid w:val="00151A7A"/>
    <w:rsid w:val="00152C50"/>
    <w:rsid w:val="00161AAF"/>
    <w:rsid w:val="001732DB"/>
    <w:rsid w:val="00180FCE"/>
    <w:rsid w:val="001A1C04"/>
    <w:rsid w:val="001A2392"/>
    <w:rsid w:val="001A292E"/>
    <w:rsid w:val="001B33B6"/>
    <w:rsid w:val="001B69C3"/>
    <w:rsid w:val="001C73C0"/>
    <w:rsid w:val="001D1C56"/>
    <w:rsid w:val="001E5E56"/>
    <w:rsid w:val="001E60E1"/>
    <w:rsid w:val="001F325C"/>
    <w:rsid w:val="00213DF7"/>
    <w:rsid w:val="00216E36"/>
    <w:rsid w:val="002417BA"/>
    <w:rsid w:val="00242B49"/>
    <w:rsid w:val="002559D4"/>
    <w:rsid w:val="00257618"/>
    <w:rsid w:val="002627B6"/>
    <w:rsid w:val="0027525C"/>
    <w:rsid w:val="002864B2"/>
    <w:rsid w:val="00295961"/>
    <w:rsid w:val="0029787F"/>
    <w:rsid w:val="002B5789"/>
    <w:rsid w:val="002C4E53"/>
    <w:rsid w:val="002D08DB"/>
    <w:rsid w:val="002D46E9"/>
    <w:rsid w:val="002E1261"/>
    <w:rsid w:val="003170CB"/>
    <w:rsid w:val="003467E2"/>
    <w:rsid w:val="0035095A"/>
    <w:rsid w:val="003835B8"/>
    <w:rsid w:val="00383714"/>
    <w:rsid w:val="00384662"/>
    <w:rsid w:val="003869AA"/>
    <w:rsid w:val="00395C76"/>
    <w:rsid w:val="00397E25"/>
    <w:rsid w:val="003A5D3C"/>
    <w:rsid w:val="003A6A33"/>
    <w:rsid w:val="003B7DFF"/>
    <w:rsid w:val="003D1348"/>
    <w:rsid w:val="003D4CEA"/>
    <w:rsid w:val="003D5F86"/>
    <w:rsid w:val="003E3A95"/>
    <w:rsid w:val="003F3E6B"/>
    <w:rsid w:val="00402053"/>
    <w:rsid w:val="004031F7"/>
    <w:rsid w:val="00407DEB"/>
    <w:rsid w:val="004207E7"/>
    <w:rsid w:val="00422CF8"/>
    <w:rsid w:val="004246BE"/>
    <w:rsid w:val="004263BF"/>
    <w:rsid w:val="00440AB2"/>
    <w:rsid w:val="004502D4"/>
    <w:rsid w:val="00453719"/>
    <w:rsid w:val="00456315"/>
    <w:rsid w:val="004574C3"/>
    <w:rsid w:val="00462A16"/>
    <w:rsid w:val="00465E57"/>
    <w:rsid w:val="00470882"/>
    <w:rsid w:val="004839F1"/>
    <w:rsid w:val="00490614"/>
    <w:rsid w:val="0049138E"/>
    <w:rsid w:val="004B3DD9"/>
    <w:rsid w:val="004C314E"/>
    <w:rsid w:val="004C5B35"/>
    <w:rsid w:val="004E00F3"/>
    <w:rsid w:val="004E392A"/>
    <w:rsid w:val="004E3EBB"/>
    <w:rsid w:val="00507A71"/>
    <w:rsid w:val="00511A66"/>
    <w:rsid w:val="0051412F"/>
    <w:rsid w:val="00521205"/>
    <w:rsid w:val="005320CA"/>
    <w:rsid w:val="00532B84"/>
    <w:rsid w:val="005339B5"/>
    <w:rsid w:val="00536705"/>
    <w:rsid w:val="00536835"/>
    <w:rsid w:val="00540439"/>
    <w:rsid w:val="0055746B"/>
    <w:rsid w:val="00570255"/>
    <w:rsid w:val="005821EB"/>
    <w:rsid w:val="00584EEA"/>
    <w:rsid w:val="00594329"/>
    <w:rsid w:val="00596CC1"/>
    <w:rsid w:val="005A1DE7"/>
    <w:rsid w:val="005A3B34"/>
    <w:rsid w:val="005B0EEA"/>
    <w:rsid w:val="005B1494"/>
    <w:rsid w:val="005B3922"/>
    <w:rsid w:val="005C054F"/>
    <w:rsid w:val="005C6D36"/>
    <w:rsid w:val="005D07C4"/>
    <w:rsid w:val="005D4B27"/>
    <w:rsid w:val="005E6CB5"/>
    <w:rsid w:val="00602D71"/>
    <w:rsid w:val="00610AFB"/>
    <w:rsid w:val="0063408D"/>
    <w:rsid w:val="00641D96"/>
    <w:rsid w:val="00643512"/>
    <w:rsid w:val="0064764B"/>
    <w:rsid w:val="00662263"/>
    <w:rsid w:val="00664285"/>
    <w:rsid w:val="0067039B"/>
    <w:rsid w:val="00676229"/>
    <w:rsid w:val="00682877"/>
    <w:rsid w:val="00683DA4"/>
    <w:rsid w:val="00693A84"/>
    <w:rsid w:val="00695481"/>
    <w:rsid w:val="006A2D0F"/>
    <w:rsid w:val="006B65FA"/>
    <w:rsid w:val="006B6C37"/>
    <w:rsid w:val="006C0672"/>
    <w:rsid w:val="006C0F51"/>
    <w:rsid w:val="006C3803"/>
    <w:rsid w:val="006C7577"/>
    <w:rsid w:val="006D03EE"/>
    <w:rsid w:val="006D0786"/>
    <w:rsid w:val="006D08AF"/>
    <w:rsid w:val="006D4A8B"/>
    <w:rsid w:val="006D6742"/>
    <w:rsid w:val="007107F6"/>
    <w:rsid w:val="0071150B"/>
    <w:rsid w:val="00711A69"/>
    <w:rsid w:val="00744B93"/>
    <w:rsid w:val="00750D54"/>
    <w:rsid w:val="00761E71"/>
    <w:rsid w:val="007663CF"/>
    <w:rsid w:val="007708D3"/>
    <w:rsid w:val="00774096"/>
    <w:rsid w:val="0077579E"/>
    <w:rsid w:val="0078532F"/>
    <w:rsid w:val="00785F89"/>
    <w:rsid w:val="007902AE"/>
    <w:rsid w:val="007A2D26"/>
    <w:rsid w:val="007C4451"/>
    <w:rsid w:val="007D3D7B"/>
    <w:rsid w:val="007F5EE9"/>
    <w:rsid w:val="007F5F05"/>
    <w:rsid w:val="00801B0E"/>
    <w:rsid w:val="008077B5"/>
    <w:rsid w:val="00807831"/>
    <w:rsid w:val="00812832"/>
    <w:rsid w:val="0082072A"/>
    <w:rsid w:val="00823CBF"/>
    <w:rsid w:val="00823ED3"/>
    <w:rsid w:val="008255AB"/>
    <w:rsid w:val="00831695"/>
    <w:rsid w:val="0084039D"/>
    <w:rsid w:val="0084082D"/>
    <w:rsid w:val="00840D31"/>
    <w:rsid w:val="008426E6"/>
    <w:rsid w:val="00857437"/>
    <w:rsid w:val="008603EB"/>
    <w:rsid w:val="00864B51"/>
    <w:rsid w:val="00874BC8"/>
    <w:rsid w:val="00884C94"/>
    <w:rsid w:val="00886299"/>
    <w:rsid w:val="008951B6"/>
    <w:rsid w:val="008A1162"/>
    <w:rsid w:val="008A7189"/>
    <w:rsid w:val="008D313C"/>
    <w:rsid w:val="008E5B3A"/>
    <w:rsid w:val="00916AF0"/>
    <w:rsid w:val="009327F6"/>
    <w:rsid w:val="00941856"/>
    <w:rsid w:val="00941F9F"/>
    <w:rsid w:val="0095287A"/>
    <w:rsid w:val="00954FA8"/>
    <w:rsid w:val="009830C4"/>
    <w:rsid w:val="0099075E"/>
    <w:rsid w:val="00991BAC"/>
    <w:rsid w:val="00993F8F"/>
    <w:rsid w:val="00996B7D"/>
    <w:rsid w:val="009A6A4F"/>
    <w:rsid w:val="009B75F8"/>
    <w:rsid w:val="009C5B4F"/>
    <w:rsid w:val="009D2941"/>
    <w:rsid w:val="009E0257"/>
    <w:rsid w:val="009E1704"/>
    <w:rsid w:val="009F190F"/>
    <w:rsid w:val="009F35B4"/>
    <w:rsid w:val="00A06798"/>
    <w:rsid w:val="00A1248C"/>
    <w:rsid w:val="00A204B4"/>
    <w:rsid w:val="00A36C8D"/>
    <w:rsid w:val="00A37E9A"/>
    <w:rsid w:val="00A404BC"/>
    <w:rsid w:val="00A53641"/>
    <w:rsid w:val="00A66ED2"/>
    <w:rsid w:val="00A7490A"/>
    <w:rsid w:val="00A75BE8"/>
    <w:rsid w:val="00A771DB"/>
    <w:rsid w:val="00A85250"/>
    <w:rsid w:val="00A85F35"/>
    <w:rsid w:val="00A966C1"/>
    <w:rsid w:val="00AB1298"/>
    <w:rsid w:val="00AB7321"/>
    <w:rsid w:val="00AC2998"/>
    <w:rsid w:val="00AC6846"/>
    <w:rsid w:val="00AD2034"/>
    <w:rsid w:val="00AD73FD"/>
    <w:rsid w:val="00AE2FAA"/>
    <w:rsid w:val="00B0005F"/>
    <w:rsid w:val="00B00F5F"/>
    <w:rsid w:val="00B029E1"/>
    <w:rsid w:val="00B040D6"/>
    <w:rsid w:val="00B202E0"/>
    <w:rsid w:val="00B20CF0"/>
    <w:rsid w:val="00B219F5"/>
    <w:rsid w:val="00B25BAD"/>
    <w:rsid w:val="00B26DBA"/>
    <w:rsid w:val="00B32EA3"/>
    <w:rsid w:val="00B34460"/>
    <w:rsid w:val="00B61551"/>
    <w:rsid w:val="00B70E1C"/>
    <w:rsid w:val="00B76BAD"/>
    <w:rsid w:val="00B77E9E"/>
    <w:rsid w:val="00B77F0A"/>
    <w:rsid w:val="00B80095"/>
    <w:rsid w:val="00B862DC"/>
    <w:rsid w:val="00BA0375"/>
    <w:rsid w:val="00BA3905"/>
    <w:rsid w:val="00BB5480"/>
    <w:rsid w:val="00BB6DB1"/>
    <w:rsid w:val="00BC4EE4"/>
    <w:rsid w:val="00BE626D"/>
    <w:rsid w:val="00C121EA"/>
    <w:rsid w:val="00C17F50"/>
    <w:rsid w:val="00C25BB5"/>
    <w:rsid w:val="00C26E0E"/>
    <w:rsid w:val="00C32849"/>
    <w:rsid w:val="00C46856"/>
    <w:rsid w:val="00C56269"/>
    <w:rsid w:val="00C56A66"/>
    <w:rsid w:val="00C57230"/>
    <w:rsid w:val="00C902CA"/>
    <w:rsid w:val="00C97736"/>
    <w:rsid w:val="00CB57B9"/>
    <w:rsid w:val="00CB792D"/>
    <w:rsid w:val="00CD2CA3"/>
    <w:rsid w:val="00CD3F9D"/>
    <w:rsid w:val="00CD47E3"/>
    <w:rsid w:val="00CF1563"/>
    <w:rsid w:val="00CF2834"/>
    <w:rsid w:val="00D0780F"/>
    <w:rsid w:val="00D16F2E"/>
    <w:rsid w:val="00D20843"/>
    <w:rsid w:val="00D31BDF"/>
    <w:rsid w:val="00D410D7"/>
    <w:rsid w:val="00D65BCE"/>
    <w:rsid w:val="00D731C8"/>
    <w:rsid w:val="00D82C6A"/>
    <w:rsid w:val="00D87960"/>
    <w:rsid w:val="00D92FC2"/>
    <w:rsid w:val="00D97F0C"/>
    <w:rsid w:val="00DC64D9"/>
    <w:rsid w:val="00DC78ED"/>
    <w:rsid w:val="00DE0CE8"/>
    <w:rsid w:val="00DF65B1"/>
    <w:rsid w:val="00DF6836"/>
    <w:rsid w:val="00E10655"/>
    <w:rsid w:val="00E13306"/>
    <w:rsid w:val="00E135B0"/>
    <w:rsid w:val="00E147E4"/>
    <w:rsid w:val="00E21890"/>
    <w:rsid w:val="00E266BC"/>
    <w:rsid w:val="00E31EA8"/>
    <w:rsid w:val="00E32414"/>
    <w:rsid w:val="00E32650"/>
    <w:rsid w:val="00E5478D"/>
    <w:rsid w:val="00E55458"/>
    <w:rsid w:val="00E60BC4"/>
    <w:rsid w:val="00E612A9"/>
    <w:rsid w:val="00E635F3"/>
    <w:rsid w:val="00E71360"/>
    <w:rsid w:val="00E74779"/>
    <w:rsid w:val="00E800A0"/>
    <w:rsid w:val="00EA43EC"/>
    <w:rsid w:val="00EA5190"/>
    <w:rsid w:val="00EC4451"/>
    <w:rsid w:val="00EC4848"/>
    <w:rsid w:val="00EC78EF"/>
    <w:rsid w:val="00ED3ECB"/>
    <w:rsid w:val="00EE5A2C"/>
    <w:rsid w:val="00EF252F"/>
    <w:rsid w:val="00EF5267"/>
    <w:rsid w:val="00EF6118"/>
    <w:rsid w:val="00F11701"/>
    <w:rsid w:val="00F14F81"/>
    <w:rsid w:val="00F153BE"/>
    <w:rsid w:val="00F207AC"/>
    <w:rsid w:val="00F22A0B"/>
    <w:rsid w:val="00F30AA6"/>
    <w:rsid w:val="00F36474"/>
    <w:rsid w:val="00F375A4"/>
    <w:rsid w:val="00F51F8F"/>
    <w:rsid w:val="00F77C79"/>
    <w:rsid w:val="00F858F6"/>
    <w:rsid w:val="00F9318E"/>
    <w:rsid w:val="00F94F2D"/>
    <w:rsid w:val="00FA52F6"/>
    <w:rsid w:val="00FA5A23"/>
    <w:rsid w:val="00FB5F64"/>
    <w:rsid w:val="00FD3825"/>
    <w:rsid w:val="00FE08BE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2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8FEB-A9DD-44F7-A85A-CEF90E2A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2024-02-19T20:30:00Z</dcterms:created>
  <dcterms:modified xsi:type="dcterms:W3CDTF">2024-02-19T20:30:00Z</dcterms:modified>
</cp:coreProperties>
</file>